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3B0B596E" w:rsidR="00ED1F74" w:rsidRDefault="00534B20" w:rsidP="00534B20">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23</w:t>
            </w:r>
            <w:r w:rsidR="00F60962">
              <w:rPr>
                <w:noProof/>
                <w:szCs w:val="22"/>
                <w:lang w:val="en-US"/>
              </w:rPr>
              <w:t xml:space="preserve"> </w:t>
            </w:r>
            <w:r>
              <w:rPr>
                <w:noProof/>
                <w:szCs w:val="22"/>
                <w:lang w:val="en-US"/>
              </w:rPr>
              <w:t>February</w:t>
            </w:r>
            <w:r w:rsidR="00F60962">
              <w:rPr>
                <w:noProof/>
                <w:szCs w:val="22"/>
                <w:lang w:val="en-US"/>
              </w:rPr>
              <w:t xml:space="preserve"> 202</w:t>
            </w:r>
            <w:r>
              <w:rPr>
                <w:noProof/>
                <w:szCs w:val="22"/>
                <w:lang w:val="en-US"/>
              </w:rPr>
              <w:t>2</w:t>
            </w:r>
          </w:p>
        </w:tc>
      </w:tr>
      <w:tr w:rsidR="00ED1F74" w:rsidRPr="008C72A7" w14:paraId="540ADAB2" w14:textId="77777777" w:rsidTr="00E92D87">
        <w:trPr>
          <w:trHeight w:val="1551"/>
        </w:trPr>
        <w:tc>
          <w:tcPr>
            <w:tcW w:w="7348" w:type="dxa"/>
            <w:tcMar>
              <w:top w:w="0" w:type="dxa"/>
            </w:tcMar>
          </w:tcPr>
          <w:p w14:paraId="2EC66BC4" w14:textId="69D87257" w:rsidR="003D0AF8" w:rsidRPr="00F60962" w:rsidRDefault="00534B20" w:rsidP="003D0AF8">
            <w:pPr>
              <w:spacing w:line="280" w:lineRule="atLeast"/>
              <w:rPr>
                <w:rFonts w:cs="Arial"/>
                <w:sz w:val="36"/>
                <w:szCs w:val="36"/>
                <w:lang w:val="en-US"/>
              </w:rPr>
            </w:pPr>
            <w:bookmarkStart w:id="1" w:name="Thema1"/>
            <w:bookmarkStart w:id="2" w:name="Thema2"/>
            <w:bookmarkEnd w:id="1"/>
            <w:bookmarkEnd w:id="2"/>
            <w:r w:rsidRPr="00534B20">
              <w:rPr>
                <w:rFonts w:cs="Arial"/>
                <w:sz w:val="36"/>
                <w:szCs w:val="36"/>
                <w:lang w:val="en-US"/>
              </w:rPr>
              <w:t>Topic preview of the PCIM Europe 2022: Highlights of the exhibition and conference</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40786C31" w:rsidR="00A9539C" w:rsidRPr="00691EB1" w:rsidRDefault="00323823" w:rsidP="00A9539C">
            <w:pPr>
              <w:spacing w:line="200" w:lineRule="exact"/>
              <w:rPr>
                <w:rFonts w:cs="Arial"/>
                <w:sz w:val="15"/>
                <w:szCs w:val="15"/>
                <w:lang w:val="en-US"/>
              </w:rPr>
            </w:pPr>
            <w:hyperlink r:id="rId8" w:history="1">
              <w:r w:rsidR="00691EB1" w:rsidRPr="00691EB1">
                <w:rPr>
                  <w:rFonts w:cs="Arial"/>
                  <w:sz w:val="15"/>
                  <w:szCs w:val="15"/>
                  <w:lang w:val="en-US"/>
                </w:rPr>
                <w:t>pcim-</w:t>
              </w:r>
              <w:r w:rsidR="00A00D37">
                <w:rPr>
                  <w:rFonts w:cs="Arial"/>
                  <w:sz w:val="15"/>
                  <w:szCs w:val="15"/>
                  <w:lang w:val="en-US"/>
                </w:rPr>
                <w:t>europe</w:t>
              </w:r>
              <w:r w:rsidR="00691EB1" w:rsidRPr="00691EB1">
                <w:rPr>
                  <w:rFonts w:cs="Arial"/>
                  <w:sz w:val="15"/>
                  <w:szCs w:val="15"/>
                  <w:lang w:val="en-US"/>
                </w:rPr>
                <w:t>.com</w:t>
              </w:r>
            </w:hyperlink>
          </w:p>
          <w:p w14:paraId="32391C99" w14:textId="77777777" w:rsidR="00ED1F74" w:rsidRDefault="00ED1F74" w:rsidP="008C72A7">
            <w:pPr>
              <w:spacing w:line="200" w:lineRule="atLeast"/>
              <w:rPr>
                <w:szCs w:val="22"/>
                <w:lang w:val="en-US"/>
              </w:rPr>
            </w:pPr>
          </w:p>
        </w:tc>
      </w:tr>
    </w:tbl>
    <w:p w14:paraId="28BB242C" w14:textId="52948BF4" w:rsidR="00A9539C" w:rsidRDefault="00534B20" w:rsidP="00A9539C">
      <w:pPr>
        <w:spacing w:line="280" w:lineRule="atLeast"/>
        <w:rPr>
          <w:rFonts w:cs="Arial"/>
          <w:b/>
          <w:szCs w:val="22"/>
          <w:lang w:val="en-US"/>
        </w:rPr>
      </w:pPr>
      <w:bookmarkStart w:id="4" w:name="V_head1"/>
      <w:bookmarkEnd w:id="4"/>
      <w:r w:rsidRPr="00534B20">
        <w:rPr>
          <w:rFonts w:cs="Arial"/>
          <w:b/>
          <w:szCs w:val="22"/>
          <w:lang w:val="en-US"/>
        </w:rPr>
        <w:t xml:space="preserve">From 10 - 12 May 2022, the </w:t>
      </w:r>
      <w:r w:rsidR="0094087B">
        <w:rPr>
          <w:rFonts w:cs="Arial"/>
          <w:b/>
          <w:szCs w:val="22"/>
          <w:lang w:val="en-US"/>
        </w:rPr>
        <w:t xml:space="preserve">international </w:t>
      </w:r>
      <w:r w:rsidRPr="00534B20">
        <w:rPr>
          <w:rFonts w:cs="Arial"/>
          <w:b/>
          <w:szCs w:val="22"/>
          <w:lang w:val="en-US"/>
        </w:rPr>
        <w:t xml:space="preserve">power electronics industry will meet again live in Nuremberg after nearly two years of predominantly digital exchange. As in previous years, visitors of the leading exhibition and conference for power electronics can expect </w:t>
      </w:r>
      <w:r w:rsidR="0094087B">
        <w:rPr>
          <w:rFonts w:cs="Arial"/>
          <w:b/>
          <w:szCs w:val="22"/>
          <w:lang w:val="en-US"/>
        </w:rPr>
        <w:t>product innovations and a top-class</w:t>
      </w:r>
      <w:r w:rsidRPr="00534B20">
        <w:rPr>
          <w:rFonts w:cs="Arial"/>
          <w:b/>
          <w:szCs w:val="22"/>
          <w:lang w:val="en-US"/>
        </w:rPr>
        <w:t xml:space="preserve"> lecture program.</w:t>
      </w:r>
    </w:p>
    <w:p w14:paraId="678BF601" w14:textId="77777777" w:rsidR="00534B20" w:rsidRPr="00534B20" w:rsidRDefault="00534B20" w:rsidP="00534B20">
      <w:pPr>
        <w:spacing w:line="280" w:lineRule="atLeast"/>
        <w:rPr>
          <w:rFonts w:cs="Arial"/>
          <w:szCs w:val="22"/>
          <w:lang w:val="en-US"/>
        </w:rPr>
      </w:pPr>
    </w:p>
    <w:p w14:paraId="4813A561" w14:textId="3C8257F2" w:rsidR="00534B20" w:rsidRDefault="0094087B" w:rsidP="00534B20">
      <w:pPr>
        <w:spacing w:line="280" w:lineRule="atLeast"/>
        <w:rPr>
          <w:rFonts w:cs="Arial"/>
          <w:szCs w:val="22"/>
          <w:lang w:val="en-US"/>
        </w:rPr>
      </w:pPr>
      <w:r w:rsidRPr="0094087B">
        <w:rPr>
          <w:rFonts w:cs="Arial"/>
          <w:szCs w:val="22"/>
          <w:lang w:val="en-US"/>
        </w:rPr>
        <w:t xml:space="preserve">This year, </w:t>
      </w:r>
      <w:r w:rsidR="00F63D7D">
        <w:rPr>
          <w:rFonts w:cs="Arial"/>
          <w:szCs w:val="22"/>
          <w:lang w:val="en-US"/>
        </w:rPr>
        <w:t xml:space="preserve">the </w:t>
      </w:r>
      <w:r w:rsidRPr="0094087B">
        <w:rPr>
          <w:rFonts w:cs="Arial"/>
          <w:szCs w:val="22"/>
          <w:lang w:val="en-US"/>
        </w:rPr>
        <w:t xml:space="preserve">PCIM Europe will be held in a hybrid format for the first time, focusing on the on-site event, which will be accompanied by a digital platform. </w:t>
      </w:r>
      <w:r w:rsidR="00F63D7D">
        <w:rPr>
          <w:rFonts w:cs="Arial"/>
          <w:szCs w:val="22"/>
          <w:lang w:val="en-US"/>
        </w:rPr>
        <w:t>The latter can be used to make</w:t>
      </w:r>
      <w:r w:rsidRPr="0094087B">
        <w:rPr>
          <w:rFonts w:cs="Arial"/>
          <w:szCs w:val="22"/>
          <w:lang w:val="en-US"/>
        </w:rPr>
        <w:t xml:space="preserve"> appointments for the event week</w:t>
      </w:r>
      <w:r w:rsidR="00323823">
        <w:rPr>
          <w:rFonts w:cs="Arial"/>
          <w:szCs w:val="22"/>
          <w:lang w:val="en-US"/>
        </w:rPr>
        <w:t>,</w:t>
      </w:r>
      <w:r w:rsidRPr="0094087B">
        <w:rPr>
          <w:rFonts w:cs="Arial"/>
          <w:szCs w:val="22"/>
          <w:lang w:val="en-US"/>
        </w:rPr>
        <w:t xml:space="preserve"> </w:t>
      </w:r>
      <w:r w:rsidR="00F63D7D">
        <w:rPr>
          <w:rFonts w:cs="Arial"/>
          <w:szCs w:val="22"/>
          <w:lang w:val="en-US"/>
        </w:rPr>
        <w:t>as well as to watch</w:t>
      </w:r>
      <w:r w:rsidRPr="0094087B">
        <w:rPr>
          <w:rFonts w:cs="Arial"/>
          <w:szCs w:val="22"/>
          <w:lang w:val="en-US"/>
        </w:rPr>
        <w:t xml:space="preserve"> contributions of the forum and conference </w:t>
      </w:r>
      <w:r w:rsidR="00323823">
        <w:rPr>
          <w:rFonts w:cs="Arial"/>
          <w:szCs w:val="22"/>
          <w:lang w:val="en-US"/>
        </w:rPr>
        <w:t>on-</w:t>
      </w:r>
      <w:r w:rsidR="00656EF7">
        <w:rPr>
          <w:rFonts w:cs="Arial"/>
          <w:szCs w:val="22"/>
          <w:lang w:val="en-US"/>
        </w:rPr>
        <w:t>demand afterwards.</w:t>
      </w:r>
    </w:p>
    <w:p w14:paraId="60ED1CFA" w14:textId="77777777" w:rsidR="0094087B" w:rsidRDefault="0094087B" w:rsidP="00534B20">
      <w:pPr>
        <w:spacing w:line="280" w:lineRule="atLeast"/>
        <w:rPr>
          <w:rFonts w:cs="Arial"/>
          <w:szCs w:val="22"/>
          <w:lang w:val="en-US"/>
        </w:rPr>
      </w:pPr>
    </w:p>
    <w:p w14:paraId="037D8F65" w14:textId="47A879E9" w:rsidR="0094087B" w:rsidRDefault="0094087B" w:rsidP="00534B20">
      <w:pPr>
        <w:spacing w:line="280" w:lineRule="atLeast"/>
        <w:rPr>
          <w:rFonts w:cs="Arial"/>
          <w:szCs w:val="22"/>
          <w:lang w:val="en-US"/>
        </w:rPr>
      </w:pPr>
      <w:r w:rsidRPr="0094087B">
        <w:rPr>
          <w:rFonts w:cs="Arial"/>
          <w:szCs w:val="22"/>
          <w:lang w:val="en-US"/>
        </w:rPr>
        <w:t>A</w:t>
      </w:r>
      <w:r w:rsidR="00323823">
        <w:rPr>
          <w:rFonts w:cs="Arial"/>
          <w:szCs w:val="22"/>
          <w:lang w:val="en-US"/>
        </w:rPr>
        <w:t xml:space="preserve">s early as the </w:t>
      </w:r>
      <w:r w:rsidRPr="0094087B">
        <w:rPr>
          <w:rFonts w:cs="Arial"/>
          <w:szCs w:val="22"/>
          <w:lang w:val="en-US"/>
        </w:rPr>
        <w:t xml:space="preserve">04.05.2022, interested parties can </w:t>
      </w:r>
      <w:r w:rsidR="00F63D7D">
        <w:rPr>
          <w:rFonts w:cs="Arial"/>
          <w:szCs w:val="22"/>
          <w:lang w:val="en-US"/>
        </w:rPr>
        <w:t xml:space="preserve">look forward to </w:t>
      </w:r>
      <w:r w:rsidRPr="0094087B">
        <w:rPr>
          <w:rFonts w:cs="Arial"/>
          <w:szCs w:val="22"/>
          <w:lang w:val="en-US"/>
        </w:rPr>
        <w:t xml:space="preserve">so-called "Teaser Talks" from exhibiting companies and summaries of the conference highlights as part of the "digital warm-up". </w:t>
      </w:r>
      <w:r w:rsidR="00323823">
        <w:rPr>
          <w:rFonts w:cs="Arial"/>
          <w:szCs w:val="22"/>
          <w:lang w:val="en-US"/>
        </w:rPr>
        <w:t>Furthermore, the</w:t>
      </w:r>
      <w:r w:rsidR="00F63D7D">
        <w:rPr>
          <w:rFonts w:cs="Arial"/>
          <w:szCs w:val="22"/>
          <w:lang w:val="en-US"/>
        </w:rPr>
        <w:t xml:space="preserve"> digital networking feature will be open from this point on.</w:t>
      </w:r>
    </w:p>
    <w:p w14:paraId="31A17CEC" w14:textId="77777777" w:rsidR="0094087B" w:rsidRDefault="0094087B" w:rsidP="00534B20">
      <w:pPr>
        <w:spacing w:line="280" w:lineRule="atLeast"/>
        <w:rPr>
          <w:rFonts w:cs="Arial"/>
          <w:szCs w:val="22"/>
          <w:lang w:val="en-US"/>
        </w:rPr>
      </w:pPr>
    </w:p>
    <w:p w14:paraId="1B42485F" w14:textId="7EA61750" w:rsidR="0094087B" w:rsidRDefault="00F63D7D" w:rsidP="00534B20">
      <w:pPr>
        <w:spacing w:line="280" w:lineRule="atLeast"/>
        <w:rPr>
          <w:rFonts w:cs="Arial"/>
          <w:szCs w:val="22"/>
          <w:lang w:val="en-US"/>
        </w:rPr>
      </w:pPr>
      <w:r>
        <w:rPr>
          <w:rFonts w:cs="Arial"/>
          <w:szCs w:val="22"/>
          <w:lang w:val="en-US"/>
        </w:rPr>
        <w:t>Subsequent to</w:t>
      </w:r>
      <w:r w:rsidR="0094087B" w:rsidRPr="0094087B">
        <w:rPr>
          <w:rFonts w:cs="Arial"/>
          <w:szCs w:val="22"/>
          <w:lang w:val="en-US"/>
        </w:rPr>
        <w:t xml:space="preserve"> the on-site event, the "digital follow-up" will take place on 18.05.2022 as a finale and to intensify the contacts made.</w:t>
      </w:r>
    </w:p>
    <w:p w14:paraId="36B37653" w14:textId="77777777" w:rsidR="0094087B" w:rsidRPr="00534B20" w:rsidRDefault="0094087B" w:rsidP="00534B20">
      <w:pPr>
        <w:spacing w:line="280" w:lineRule="atLeast"/>
        <w:rPr>
          <w:rFonts w:cs="Arial"/>
          <w:szCs w:val="22"/>
          <w:lang w:val="en-US"/>
        </w:rPr>
      </w:pPr>
    </w:p>
    <w:p w14:paraId="5E3994F4" w14:textId="35F75BA7" w:rsidR="00534B20" w:rsidRDefault="0094087B" w:rsidP="00F60962">
      <w:pPr>
        <w:spacing w:line="280" w:lineRule="atLeast"/>
        <w:rPr>
          <w:rFonts w:cs="Arial"/>
          <w:b/>
          <w:szCs w:val="22"/>
          <w:lang w:val="en-US"/>
        </w:rPr>
      </w:pPr>
      <w:r w:rsidRPr="0094087B">
        <w:rPr>
          <w:rFonts w:cs="Arial"/>
          <w:b/>
          <w:szCs w:val="22"/>
          <w:lang w:val="en-US"/>
        </w:rPr>
        <w:t>International exhibitors and special topics</w:t>
      </w:r>
    </w:p>
    <w:p w14:paraId="5E0FBEEF" w14:textId="77777777" w:rsidR="0094087B" w:rsidRDefault="0094087B" w:rsidP="00F60962">
      <w:pPr>
        <w:spacing w:line="280" w:lineRule="atLeast"/>
        <w:rPr>
          <w:rFonts w:cs="Arial"/>
          <w:b/>
          <w:szCs w:val="22"/>
          <w:lang w:val="en-US"/>
        </w:rPr>
      </w:pPr>
    </w:p>
    <w:p w14:paraId="75A8B5E9" w14:textId="7C73A4E6" w:rsidR="00711B7B" w:rsidRDefault="0094087B" w:rsidP="00A9539C">
      <w:pPr>
        <w:spacing w:line="280" w:lineRule="atLeast"/>
        <w:rPr>
          <w:rFonts w:cs="Arial"/>
          <w:szCs w:val="22"/>
          <w:lang w:val="en-US"/>
        </w:rPr>
      </w:pPr>
      <w:r w:rsidRPr="0094087B">
        <w:rPr>
          <w:rFonts w:cs="Arial"/>
          <w:szCs w:val="22"/>
          <w:lang w:val="en-US"/>
        </w:rPr>
        <w:t>Just under three months before the start of the PCIM Europe, the exhibitor list includes more than 300 companies, from start-ups to industry leaders, of which more than half are international (53%).</w:t>
      </w:r>
    </w:p>
    <w:p w14:paraId="7B8A07DB" w14:textId="77777777" w:rsidR="0094087B" w:rsidRDefault="0094087B" w:rsidP="00A9539C">
      <w:pPr>
        <w:spacing w:line="280" w:lineRule="atLeast"/>
        <w:rPr>
          <w:rFonts w:cs="Arial"/>
          <w:szCs w:val="22"/>
          <w:lang w:val="en-US"/>
        </w:rPr>
      </w:pPr>
    </w:p>
    <w:p w14:paraId="795C69F2" w14:textId="52B404A9" w:rsidR="0094087B" w:rsidRDefault="0094087B" w:rsidP="00A9539C">
      <w:pPr>
        <w:spacing w:line="280" w:lineRule="atLeast"/>
        <w:rPr>
          <w:rFonts w:cs="Arial"/>
          <w:szCs w:val="22"/>
          <w:lang w:val="en-US"/>
        </w:rPr>
      </w:pPr>
      <w:r w:rsidRPr="0094087B">
        <w:rPr>
          <w:rFonts w:cs="Arial"/>
          <w:szCs w:val="22"/>
          <w:lang w:val="en-US"/>
        </w:rPr>
        <w:t>With the Batteries &amp; More - Energy Storage Pavilion, a special exhibition area will be dedicated to the</w:t>
      </w:r>
      <w:r w:rsidR="00F63D7D">
        <w:rPr>
          <w:rFonts w:cs="Arial"/>
          <w:szCs w:val="22"/>
          <w:lang w:val="en-US"/>
        </w:rPr>
        <w:t xml:space="preserve"> subject</w:t>
      </w:r>
      <w:r w:rsidRPr="0094087B">
        <w:rPr>
          <w:rFonts w:cs="Arial"/>
          <w:szCs w:val="22"/>
          <w:lang w:val="en-US"/>
        </w:rPr>
        <w:t xml:space="preserve"> of Power Quality and Energy Storage, with companies specializing in this area of application. This </w:t>
      </w:r>
      <w:r w:rsidR="00F63D7D">
        <w:rPr>
          <w:rFonts w:cs="Arial"/>
          <w:szCs w:val="22"/>
          <w:lang w:val="en-US"/>
        </w:rPr>
        <w:t>topic</w:t>
      </w:r>
      <w:r w:rsidRPr="0094087B">
        <w:rPr>
          <w:rFonts w:cs="Arial"/>
          <w:szCs w:val="22"/>
          <w:lang w:val="en-US"/>
        </w:rPr>
        <w:t xml:space="preserve"> </w:t>
      </w:r>
      <w:r w:rsidR="00F63D7D">
        <w:rPr>
          <w:rFonts w:cs="Arial"/>
          <w:szCs w:val="22"/>
          <w:lang w:val="en-US"/>
        </w:rPr>
        <w:t>will also be part of the</w:t>
      </w:r>
      <w:r w:rsidRPr="0094087B">
        <w:rPr>
          <w:rFonts w:cs="Arial"/>
          <w:szCs w:val="22"/>
          <w:lang w:val="en-US"/>
        </w:rPr>
        <w:t xml:space="preserve"> lecture program of the specialist forum </w:t>
      </w:r>
      <w:r w:rsidR="00F63D7D">
        <w:rPr>
          <w:rFonts w:cs="Arial"/>
          <w:szCs w:val="22"/>
          <w:lang w:val="en-US"/>
        </w:rPr>
        <w:t>as well as</w:t>
      </w:r>
      <w:r w:rsidRPr="0094087B">
        <w:rPr>
          <w:rFonts w:cs="Arial"/>
          <w:szCs w:val="22"/>
          <w:lang w:val="en-US"/>
        </w:rPr>
        <w:t xml:space="preserve"> the user-oriented conference.</w:t>
      </w:r>
    </w:p>
    <w:p w14:paraId="7A8C0570" w14:textId="77777777" w:rsidR="00711B7B" w:rsidRDefault="00711B7B" w:rsidP="00711B7B">
      <w:pPr>
        <w:spacing w:line="280" w:lineRule="atLeast"/>
        <w:rPr>
          <w:rFonts w:cs="Arial"/>
          <w:szCs w:val="22"/>
          <w:lang w:val="en-US"/>
        </w:rPr>
      </w:pPr>
    </w:p>
    <w:p w14:paraId="0BD7AB11" w14:textId="1235EC6E" w:rsidR="00711B7B" w:rsidRDefault="0094087B" w:rsidP="00711B7B">
      <w:pPr>
        <w:spacing w:line="280" w:lineRule="atLeast"/>
        <w:rPr>
          <w:rFonts w:cs="Arial"/>
          <w:b/>
          <w:szCs w:val="22"/>
          <w:lang w:val="en-US"/>
        </w:rPr>
      </w:pPr>
      <w:r>
        <w:rPr>
          <w:rFonts w:cs="Arial"/>
          <w:b/>
          <w:szCs w:val="22"/>
          <w:lang w:val="en-US"/>
        </w:rPr>
        <w:t>Three exhibition forums as visitor highlights</w:t>
      </w:r>
    </w:p>
    <w:p w14:paraId="39BBF82D" w14:textId="77777777" w:rsidR="0094087B" w:rsidRPr="0094087B" w:rsidRDefault="0094087B" w:rsidP="00711B7B">
      <w:pPr>
        <w:spacing w:line="280" w:lineRule="atLeast"/>
        <w:rPr>
          <w:rFonts w:cs="Arial"/>
          <w:b/>
          <w:szCs w:val="22"/>
          <w:lang w:val="en-US"/>
        </w:rPr>
      </w:pPr>
    </w:p>
    <w:p w14:paraId="6BCA59A1" w14:textId="5E570B60" w:rsidR="00711B7B" w:rsidRDefault="00323823" w:rsidP="00711B7B">
      <w:pPr>
        <w:spacing w:line="280" w:lineRule="atLeast"/>
        <w:rPr>
          <w:rFonts w:cs="Arial"/>
          <w:szCs w:val="22"/>
          <w:lang w:val="en-US"/>
        </w:rPr>
      </w:pPr>
      <w:r>
        <w:rPr>
          <w:rFonts w:cs="Arial"/>
          <w:szCs w:val="22"/>
          <w:lang w:val="en-US"/>
        </w:rPr>
        <w:t>Complementing</w:t>
      </w:r>
      <w:r w:rsidR="00711B7B" w:rsidRPr="00711B7B">
        <w:rPr>
          <w:rFonts w:cs="Arial"/>
          <w:szCs w:val="22"/>
          <w:lang w:val="en-US"/>
        </w:rPr>
        <w:t xml:space="preserve"> the E-mobility Area, the E-mobility Forum offers specialist presentations by </w:t>
      </w:r>
      <w:r w:rsidR="00F63D7D">
        <w:rPr>
          <w:rFonts w:cs="Arial"/>
          <w:szCs w:val="22"/>
          <w:lang w:val="en-US"/>
        </w:rPr>
        <w:t xml:space="preserve">Hitachi Energy, </w:t>
      </w:r>
      <w:r w:rsidR="00656EF7" w:rsidRPr="00656EF7">
        <w:rPr>
          <w:lang w:val="en-US"/>
        </w:rPr>
        <w:t xml:space="preserve">Heraeus, </w:t>
      </w:r>
      <w:r w:rsidR="00F63D7D" w:rsidRPr="00F63D7D">
        <w:rPr>
          <w:rFonts w:cs="Arial"/>
          <w:szCs w:val="22"/>
          <w:lang w:val="en-US"/>
        </w:rPr>
        <w:t xml:space="preserve">EBV Elektronik </w:t>
      </w:r>
      <w:r w:rsidR="00F63D7D">
        <w:rPr>
          <w:rFonts w:cs="Arial"/>
          <w:szCs w:val="22"/>
          <w:lang w:val="en-US"/>
        </w:rPr>
        <w:t xml:space="preserve">and other </w:t>
      </w:r>
      <w:r w:rsidR="00711B7B" w:rsidRPr="00711B7B">
        <w:rPr>
          <w:rFonts w:cs="Arial"/>
          <w:szCs w:val="22"/>
          <w:lang w:val="en-US"/>
        </w:rPr>
        <w:t>well-kno</w:t>
      </w:r>
      <w:r w:rsidR="00F63D7D">
        <w:rPr>
          <w:rFonts w:cs="Arial"/>
          <w:szCs w:val="22"/>
          <w:lang w:val="en-US"/>
        </w:rPr>
        <w:t xml:space="preserve">wn </w:t>
      </w:r>
      <w:r w:rsidR="00301214">
        <w:rPr>
          <w:rFonts w:cs="Arial"/>
          <w:szCs w:val="22"/>
          <w:lang w:val="en-US"/>
        </w:rPr>
        <w:t>exhibitor</w:t>
      </w:r>
      <w:r w:rsidR="00F63D7D">
        <w:rPr>
          <w:rFonts w:cs="Arial"/>
          <w:szCs w:val="22"/>
          <w:lang w:val="en-US"/>
        </w:rPr>
        <w:t>s</w:t>
      </w:r>
      <w:r w:rsidR="00711B7B" w:rsidRPr="00711B7B">
        <w:rPr>
          <w:rFonts w:cs="Arial"/>
          <w:szCs w:val="22"/>
          <w:lang w:val="en-US"/>
        </w:rPr>
        <w:t>.</w:t>
      </w:r>
    </w:p>
    <w:p w14:paraId="4CDD6701" w14:textId="77777777" w:rsidR="00711B7B" w:rsidRPr="00711B7B" w:rsidRDefault="00711B7B" w:rsidP="00711B7B">
      <w:pPr>
        <w:spacing w:line="280" w:lineRule="atLeast"/>
        <w:rPr>
          <w:rFonts w:cs="Arial"/>
          <w:szCs w:val="22"/>
          <w:lang w:val="en-US"/>
        </w:rPr>
      </w:pPr>
    </w:p>
    <w:p w14:paraId="64C57265" w14:textId="3C1B97E3" w:rsidR="00711B7B" w:rsidRPr="00711B7B" w:rsidRDefault="00711B7B" w:rsidP="00711B7B">
      <w:pPr>
        <w:spacing w:line="280" w:lineRule="atLeast"/>
        <w:rPr>
          <w:rFonts w:cs="Arial"/>
          <w:szCs w:val="22"/>
          <w:lang w:val="en-US"/>
        </w:rPr>
      </w:pPr>
      <w:r w:rsidRPr="00711B7B">
        <w:rPr>
          <w:rFonts w:cs="Arial"/>
          <w:szCs w:val="22"/>
          <w:lang w:val="en-US"/>
        </w:rPr>
        <w:t xml:space="preserve">At the Exhibitor Forum in Hall 7, interested parties can </w:t>
      </w:r>
      <w:r w:rsidR="00F63D7D">
        <w:rPr>
          <w:rFonts w:cs="Arial"/>
          <w:szCs w:val="22"/>
          <w:lang w:val="en-US"/>
        </w:rPr>
        <w:t>discover</w:t>
      </w:r>
      <w:r w:rsidRPr="00711B7B">
        <w:rPr>
          <w:rFonts w:cs="Arial"/>
          <w:szCs w:val="22"/>
          <w:lang w:val="en-US"/>
        </w:rPr>
        <w:t xml:space="preserve"> </w:t>
      </w:r>
      <w:r w:rsidR="00F63D7D">
        <w:rPr>
          <w:rFonts w:cs="Arial"/>
          <w:szCs w:val="22"/>
          <w:lang w:val="en-US"/>
        </w:rPr>
        <w:t>t</w:t>
      </w:r>
      <w:r w:rsidR="00301214">
        <w:rPr>
          <w:rFonts w:cs="Arial"/>
          <w:szCs w:val="22"/>
          <w:lang w:val="en-US"/>
        </w:rPr>
        <w:t xml:space="preserve">he latest product innovations by </w:t>
      </w:r>
      <w:r w:rsidRPr="00711B7B">
        <w:rPr>
          <w:rFonts w:cs="Arial"/>
          <w:szCs w:val="22"/>
          <w:lang w:val="en-US"/>
        </w:rPr>
        <w:t>companies suc</w:t>
      </w:r>
      <w:r w:rsidR="004603C0">
        <w:rPr>
          <w:rFonts w:cs="Arial"/>
          <w:szCs w:val="22"/>
          <w:lang w:val="en-US"/>
        </w:rPr>
        <w:t>h</w:t>
      </w:r>
      <w:r w:rsidR="00656EF7">
        <w:rPr>
          <w:rFonts w:cs="Arial"/>
          <w:szCs w:val="22"/>
          <w:lang w:val="en-US"/>
        </w:rPr>
        <w:t xml:space="preserve"> as Semikron and Nexperia</w:t>
      </w:r>
      <w:r w:rsidR="004603C0">
        <w:rPr>
          <w:rFonts w:cs="Arial"/>
          <w:szCs w:val="22"/>
          <w:lang w:val="en-US"/>
        </w:rPr>
        <w:t>.</w:t>
      </w:r>
    </w:p>
    <w:p w14:paraId="05C26F27" w14:textId="77777777" w:rsidR="00711B7B" w:rsidRPr="00711B7B" w:rsidRDefault="00711B7B" w:rsidP="00711B7B">
      <w:pPr>
        <w:spacing w:line="280" w:lineRule="atLeast"/>
        <w:rPr>
          <w:rFonts w:cs="Arial"/>
          <w:szCs w:val="22"/>
          <w:lang w:val="en-US"/>
        </w:rPr>
      </w:pPr>
    </w:p>
    <w:p w14:paraId="0F2ED235" w14:textId="099EB197" w:rsidR="00711B7B" w:rsidRDefault="00711B7B" w:rsidP="00711B7B">
      <w:pPr>
        <w:spacing w:line="280" w:lineRule="atLeast"/>
        <w:rPr>
          <w:rFonts w:cs="Arial"/>
          <w:szCs w:val="22"/>
          <w:lang w:val="en-US"/>
        </w:rPr>
      </w:pPr>
      <w:r w:rsidRPr="00711B7B">
        <w:rPr>
          <w:rFonts w:cs="Arial"/>
          <w:szCs w:val="22"/>
          <w:lang w:val="en-US"/>
        </w:rPr>
        <w:lastRenderedPageBreak/>
        <w:t>The Industry Forum is the platform for</w:t>
      </w:r>
      <w:r w:rsidR="0094087B">
        <w:rPr>
          <w:rFonts w:cs="Arial"/>
          <w:szCs w:val="22"/>
          <w:lang w:val="en-US"/>
        </w:rPr>
        <w:t xml:space="preserve"> high-quality</w:t>
      </w:r>
      <w:r w:rsidRPr="00711B7B">
        <w:rPr>
          <w:rFonts w:cs="Arial"/>
          <w:szCs w:val="22"/>
          <w:lang w:val="en-US"/>
        </w:rPr>
        <w:t xml:space="preserve"> presentations and panel discussions on </w:t>
      </w:r>
      <w:r w:rsidR="0094087B">
        <w:rPr>
          <w:rFonts w:cs="Arial"/>
          <w:szCs w:val="22"/>
          <w:lang w:val="en-US"/>
        </w:rPr>
        <w:t xml:space="preserve">current research and development topics. </w:t>
      </w:r>
      <w:r w:rsidRPr="00711B7B">
        <w:rPr>
          <w:rFonts w:cs="Arial"/>
          <w:szCs w:val="22"/>
          <w:lang w:val="en-US"/>
        </w:rPr>
        <w:t xml:space="preserve">The agenda </w:t>
      </w:r>
      <w:r w:rsidR="00301214">
        <w:rPr>
          <w:rFonts w:cs="Arial"/>
          <w:szCs w:val="22"/>
          <w:lang w:val="en-US"/>
        </w:rPr>
        <w:t xml:space="preserve">includes, for instance, </w:t>
      </w:r>
      <w:r w:rsidRPr="00711B7B">
        <w:rPr>
          <w:rFonts w:cs="Arial"/>
          <w:szCs w:val="22"/>
          <w:lang w:val="en-US"/>
        </w:rPr>
        <w:t>"Next Generation BESS Design - Future-Oriented Connection Technology for Enabling New Design Architecture" (Pheonix Contact), "Besides SiC Inverter Numerous Advantages what are its Impacts on E-Motor?" (Yole Developpement) and "The Next Level of Wide Bandgap Design - SiC and GaN" (Bodo's Power Systems).</w:t>
      </w:r>
      <w:r w:rsidR="0094087B" w:rsidRPr="0094087B">
        <w:rPr>
          <w:lang w:val="en-US"/>
        </w:rPr>
        <w:t xml:space="preserve"> </w:t>
      </w:r>
      <w:r w:rsidR="0094087B">
        <w:rPr>
          <w:lang w:val="en-US"/>
        </w:rPr>
        <w:t>I</w:t>
      </w:r>
      <w:r w:rsidR="0094087B" w:rsidRPr="0094087B">
        <w:rPr>
          <w:rFonts w:cs="Arial"/>
          <w:szCs w:val="22"/>
          <w:lang w:val="en-US"/>
        </w:rPr>
        <w:t>n addition, the forum will offer three lectures as part of the "Women in Engineering" initiative</w:t>
      </w:r>
      <w:r w:rsidRPr="00711B7B">
        <w:rPr>
          <w:rFonts w:cs="Arial"/>
          <w:szCs w:val="22"/>
          <w:lang w:val="en-US"/>
        </w:rPr>
        <w:t xml:space="preserve">. </w:t>
      </w:r>
    </w:p>
    <w:p w14:paraId="7043ED16" w14:textId="77777777" w:rsidR="00160AA0" w:rsidRDefault="00160AA0" w:rsidP="00711B7B">
      <w:pPr>
        <w:spacing w:line="280" w:lineRule="atLeast"/>
        <w:rPr>
          <w:rFonts w:cs="Arial"/>
          <w:szCs w:val="22"/>
          <w:lang w:val="en-US"/>
        </w:rPr>
      </w:pPr>
    </w:p>
    <w:p w14:paraId="3A118A94" w14:textId="77777777" w:rsidR="00160AA0" w:rsidRPr="005C54DB" w:rsidRDefault="00160AA0" w:rsidP="00160AA0">
      <w:pPr>
        <w:rPr>
          <w:rFonts w:cs="Arial"/>
          <w:b/>
          <w:szCs w:val="22"/>
          <w:lang w:val="en-US"/>
        </w:rPr>
      </w:pPr>
      <w:r w:rsidRPr="005C54DB">
        <w:rPr>
          <w:rFonts w:cs="Arial"/>
          <w:b/>
          <w:szCs w:val="22"/>
          <w:lang w:val="en-US"/>
        </w:rPr>
        <w:t>PCIM Europe Conference: Over 300 presentations</w:t>
      </w:r>
    </w:p>
    <w:p w14:paraId="4DFE29D4" w14:textId="77777777" w:rsidR="00160AA0" w:rsidRPr="005C54DB" w:rsidRDefault="00160AA0" w:rsidP="00160AA0">
      <w:pPr>
        <w:rPr>
          <w:rFonts w:cs="Arial"/>
          <w:b/>
          <w:szCs w:val="22"/>
          <w:lang w:val="en-US"/>
        </w:rPr>
      </w:pPr>
    </w:p>
    <w:p w14:paraId="2A979098" w14:textId="0CDB043E" w:rsidR="00160AA0" w:rsidRPr="005C54DB" w:rsidRDefault="00301214" w:rsidP="00160AA0">
      <w:pPr>
        <w:rPr>
          <w:rFonts w:cs="Arial"/>
          <w:szCs w:val="22"/>
          <w:lang w:val="en-US"/>
        </w:rPr>
      </w:pPr>
      <w:r>
        <w:rPr>
          <w:rFonts w:cs="Arial"/>
          <w:szCs w:val="22"/>
          <w:lang w:val="en-US"/>
        </w:rPr>
        <w:t>As every year, the</w:t>
      </w:r>
      <w:r w:rsidR="00160AA0" w:rsidRPr="005C54DB">
        <w:rPr>
          <w:rFonts w:cs="Arial"/>
          <w:szCs w:val="22"/>
          <w:lang w:val="en-US"/>
        </w:rPr>
        <w:t xml:space="preserve"> international conference will take place</w:t>
      </w:r>
      <w:r w:rsidR="00323823">
        <w:rPr>
          <w:rFonts w:cs="Arial"/>
          <w:szCs w:val="22"/>
          <w:lang w:val="en-US"/>
        </w:rPr>
        <w:t xml:space="preserve"> </w:t>
      </w:r>
      <w:r>
        <w:rPr>
          <w:rFonts w:cs="Arial"/>
          <w:szCs w:val="22"/>
          <w:lang w:val="en-US"/>
        </w:rPr>
        <w:t>parallel to the exhibition. This format offers insights into the</w:t>
      </w:r>
      <w:r w:rsidR="00160AA0" w:rsidRPr="005C54DB">
        <w:rPr>
          <w:rFonts w:cs="Arial"/>
          <w:szCs w:val="22"/>
          <w:lang w:val="en-US"/>
        </w:rPr>
        <w:t xml:space="preserve"> latest developments and research results from science and industry</w:t>
      </w:r>
      <w:r>
        <w:rPr>
          <w:rFonts w:cs="Arial"/>
          <w:szCs w:val="22"/>
          <w:lang w:val="en-US"/>
        </w:rPr>
        <w:t>,</w:t>
      </w:r>
      <w:r w:rsidR="00160AA0" w:rsidRPr="005C54DB">
        <w:rPr>
          <w:rFonts w:cs="Arial"/>
          <w:szCs w:val="22"/>
          <w:lang w:val="en-US"/>
        </w:rPr>
        <w:t xml:space="preserve"> for instance on SiC devices, new materials for high performance storage devices and photovoltaic power converters. Speakers will be providing specialist knowledge </w:t>
      </w:r>
      <w:r w:rsidR="00323823">
        <w:rPr>
          <w:rFonts w:cs="Arial"/>
          <w:szCs w:val="22"/>
          <w:lang w:val="en-US"/>
        </w:rPr>
        <w:t>for example</w:t>
      </w:r>
      <w:r w:rsidR="00A62464">
        <w:rPr>
          <w:rFonts w:cs="Arial"/>
          <w:szCs w:val="22"/>
          <w:lang w:val="en-US"/>
        </w:rPr>
        <w:t xml:space="preserve"> </w:t>
      </w:r>
      <w:r w:rsidR="00160AA0" w:rsidRPr="005C54DB">
        <w:rPr>
          <w:rFonts w:cs="Arial"/>
          <w:szCs w:val="22"/>
          <w:lang w:val="en-US"/>
        </w:rPr>
        <w:t>in the following sessions:</w:t>
      </w:r>
    </w:p>
    <w:p w14:paraId="1392E440" w14:textId="77777777" w:rsidR="00160AA0" w:rsidRPr="005C54DB" w:rsidRDefault="00160AA0" w:rsidP="00160AA0">
      <w:pPr>
        <w:widowControl/>
        <w:spacing w:line="240" w:lineRule="auto"/>
        <w:rPr>
          <w:rFonts w:eastAsia="Calibri" w:cs="Arial"/>
          <w:szCs w:val="22"/>
          <w:lang w:val="en-US" w:eastAsia="en-US"/>
        </w:rPr>
      </w:pPr>
    </w:p>
    <w:p w14:paraId="054B143D" w14:textId="45C616D1" w:rsidR="00160AA0" w:rsidRPr="003114DE" w:rsidRDefault="00160AA0" w:rsidP="00160AA0">
      <w:pPr>
        <w:pStyle w:val="Listenabsatz"/>
        <w:widowControl w:val="0"/>
        <w:numPr>
          <w:ilvl w:val="0"/>
          <w:numId w:val="1"/>
        </w:numPr>
        <w:spacing w:line="288" w:lineRule="auto"/>
        <w:ind w:left="360"/>
        <w:rPr>
          <w:rFonts w:ascii="Arial" w:eastAsia="Times New Roman" w:hAnsi="Arial" w:cs="Arial"/>
          <w:bCs/>
          <w:lang w:val="en-US" w:eastAsia="de-DE" w:bidi="de-DE"/>
        </w:rPr>
      </w:pPr>
      <w:r w:rsidRPr="003114DE">
        <w:rPr>
          <w:rFonts w:ascii="Arial" w:eastAsia="Times New Roman" w:hAnsi="Arial" w:cs="Arial"/>
          <w:lang w:val="en-US" w:eastAsia="de-DE" w:bidi="de-DE"/>
        </w:rPr>
        <w:t>“</w:t>
      </w:r>
      <w:r w:rsidRPr="003114DE">
        <w:rPr>
          <w:rFonts w:ascii="Arial" w:eastAsia="Times New Roman" w:hAnsi="Arial" w:cs="Arial"/>
          <w:bCs/>
          <w:lang w:val="en-US" w:eastAsia="de-DE" w:bidi="de-DE"/>
        </w:rPr>
        <w:t xml:space="preserve">Proven Power Cycling Reliability of Smart Cut SiC Substrate </w:t>
      </w:r>
      <w:r w:rsidR="00F175BF">
        <w:rPr>
          <w:rFonts w:ascii="Arial" w:eastAsia="Times New Roman" w:hAnsi="Arial" w:cs="Arial"/>
          <w:bCs/>
          <w:lang w:val="en-US" w:eastAsia="de-DE" w:bidi="de-DE"/>
        </w:rPr>
        <w:t>for Power Devices”, Eric Guiot, SOITEC, France</w:t>
      </w:r>
    </w:p>
    <w:p w14:paraId="2C542959" w14:textId="77777777" w:rsidR="00160AA0" w:rsidRPr="003114DE" w:rsidRDefault="00160AA0" w:rsidP="00160AA0">
      <w:pPr>
        <w:pStyle w:val="Listenabsatz"/>
        <w:widowControl w:val="0"/>
        <w:spacing w:line="288" w:lineRule="auto"/>
        <w:ind w:left="360"/>
        <w:rPr>
          <w:rFonts w:ascii="Arial" w:eastAsia="Times New Roman" w:hAnsi="Arial" w:cs="Arial"/>
          <w:bCs/>
          <w:lang w:val="en-US" w:eastAsia="de-DE" w:bidi="de-DE"/>
        </w:rPr>
      </w:pPr>
    </w:p>
    <w:p w14:paraId="33C31639" w14:textId="0F4112CB" w:rsidR="00160AA0" w:rsidRPr="003114DE" w:rsidRDefault="00160AA0" w:rsidP="00160AA0">
      <w:pPr>
        <w:pStyle w:val="Listenabsatz"/>
        <w:widowControl w:val="0"/>
        <w:numPr>
          <w:ilvl w:val="0"/>
          <w:numId w:val="1"/>
        </w:numPr>
        <w:spacing w:line="288" w:lineRule="auto"/>
        <w:ind w:left="360"/>
        <w:rPr>
          <w:rFonts w:ascii="Arial" w:eastAsia="Times New Roman" w:hAnsi="Arial" w:cs="Arial"/>
          <w:bCs/>
          <w:lang w:val="en-US" w:eastAsia="de-DE" w:bidi="de-DE"/>
        </w:rPr>
      </w:pPr>
      <w:r w:rsidRPr="003114DE">
        <w:rPr>
          <w:rFonts w:ascii="Arial" w:eastAsia="Times New Roman" w:hAnsi="Arial" w:cs="Arial"/>
          <w:bCs/>
          <w:lang w:val="en-US" w:eastAsia="de-DE" w:bidi="de-DE"/>
        </w:rPr>
        <w:t>“Trans-Inductor Voltage Regulator (TLVR): Circuit Operation, Power Magnetic Construction, Efficiency and</w:t>
      </w:r>
      <w:r w:rsidR="00F175BF">
        <w:rPr>
          <w:rFonts w:ascii="Arial" w:eastAsia="Times New Roman" w:hAnsi="Arial" w:cs="Arial"/>
          <w:bCs/>
          <w:lang w:val="en-US" w:eastAsia="de-DE" w:bidi="de-DE"/>
        </w:rPr>
        <w:t xml:space="preserve"> Cost Trade-offs”, David Wiest, </w:t>
      </w:r>
      <w:r w:rsidRPr="003114DE">
        <w:rPr>
          <w:rFonts w:ascii="Arial" w:eastAsia="Times New Roman" w:hAnsi="Arial" w:cs="Arial"/>
          <w:bCs/>
          <w:lang w:val="en-US" w:eastAsia="de-DE" w:bidi="de-DE"/>
        </w:rPr>
        <w:t>Pulse Electronics, USA</w:t>
      </w:r>
    </w:p>
    <w:p w14:paraId="5E3848D8" w14:textId="77777777" w:rsidR="00160AA0" w:rsidRPr="003114DE" w:rsidRDefault="00160AA0" w:rsidP="00160AA0">
      <w:pPr>
        <w:pStyle w:val="Listenabsatz"/>
        <w:widowControl w:val="0"/>
        <w:spacing w:line="288" w:lineRule="auto"/>
        <w:ind w:left="360"/>
        <w:rPr>
          <w:rFonts w:ascii="Arial" w:eastAsia="Times New Roman" w:hAnsi="Arial" w:cs="Arial"/>
          <w:bCs/>
          <w:lang w:val="en-US" w:eastAsia="de-DE" w:bidi="de-DE"/>
        </w:rPr>
      </w:pPr>
    </w:p>
    <w:p w14:paraId="304F72E4" w14:textId="61997FA0" w:rsidR="00160AA0" w:rsidRPr="003114DE" w:rsidRDefault="00160AA0" w:rsidP="00160AA0">
      <w:pPr>
        <w:pStyle w:val="Listenabsatz"/>
        <w:widowControl w:val="0"/>
        <w:numPr>
          <w:ilvl w:val="0"/>
          <w:numId w:val="1"/>
        </w:numPr>
        <w:spacing w:line="288" w:lineRule="auto"/>
        <w:ind w:left="360"/>
        <w:rPr>
          <w:rFonts w:ascii="Arial" w:eastAsia="Times New Roman" w:hAnsi="Arial" w:cs="Arial"/>
          <w:bCs/>
          <w:lang w:val="en-US" w:eastAsia="de-DE" w:bidi="de-DE"/>
        </w:rPr>
      </w:pPr>
      <w:r w:rsidRPr="003114DE">
        <w:rPr>
          <w:rFonts w:ascii="Arial" w:eastAsia="Times New Roman" w:hAnsi="Arial" w:cs="Arial"/>
          <w:bCs/>
          <w:lang w:val="en-US" w:eastAsia="de-DE" w:bidi="de-DE"/>
        </w:rPr>
        <w:t>“Reliability of Inverters in Photovoltaic Power Systems – A Detailed Field Dat</w:t>
      </w:r>
      <w:r w:rsidR="00F175BF">
        <w:rPr>
          <w:rFonts w:ascii="Arial" w:eastAsia="Times New Roman" w:hAnsi="Arial" w:cs="Arial"/>
          <w:bCs/>
          <w:lang w:val="en-US" w:eastAsia="de-DE" w:bidi="de-DE"/>
        </w:rPr>
        <w:t xml:space="preserve">a Analysis”, Felix Kulenkampff, </w:t>
      </w:r>
      <w:r w:rsidRPr="003114DE">
        <w:rPr>
          <w:rFonts w:ascii="Arial" w:eastAsia="Times New Roman" w:hAnsi="Arial" w:cs="Arial"/>
          <w:bCs/>
          <w:lang w:val="en-US" w:eastAsia="de-DE" w:bidi="de-DE"/>
        </w:rPr>
        <w:t>Fraunhofer Institute ISE, Germany</w:t>
      </w:r>
    </w:p>
    <w:p w14:paraId="72F7684C" w14:textId="77777777" w:rsidR="00160AA0" w:rsidRPr="005C54DB" w:rsidRDefault="00160AA0" w:rsidP="00160AA0">
      <w:pPr>
        <w:pStyle w:val="Listenabsatz"/>
        <w:widowControl w:val="0"/>
        <w:spacing w:line="288" w:lineRule="auto"/>
        <w:rPr>
          <w:rFonts w:ascii="Arial" w:eastAsia="Times New Roman" w:hAnsi="Arial" w:cs="Arial"/>
          <w:bCs/>
          <w:lang w:val="en-US" w:eastAsia="de-DE" w:bidi="de-DE"/>
        </w:rPr>
      </w:pPr>
    </w:p>
    <w:p w14:paraId="186912CA" w14:textId="75297958" w:rsidR="00160AA0" w:rsidRPr="005C54DB" w:rsidRDefault="00160AA0" w:rsidP="00160AA0">
      <w:pPr>
        <w:spacing w:line="280" w:lineRule="atLeast"/>
        <w:rPr>
          <w:rFonts w:cs="Arial"/>
          <w:szCs w:val="22"/>
          <w:lang w:val="en-US"/>
        </w:rPr>
      </w:pPr>
      <w:r w:rsidRPr="005C54DB">
        <w:rPr>
          <w:rFonts w:cs="Arial"/>
          <w:szCs w:val="22"/>
          <w:lang w:val="en-US"/>
        </w:rPr>
        <w:t>In addition, three</w:t>
      </w:r>
      <w:r>
        <w:rPr>
          <w:rFonts w:cs="Arial"/>
          <w:szCs w:val="22"/>
          <w:lang w:val="en-US"/>
        </w:rPr>
        <w:t xml:space="preserve"> special s</w:t>
      </w:r>
      <w:r w:rsidRPr="005C54DB">
        <w:rPr>
          <w:rFonts w:cs="Arial"/>
          <w:szCs w:val="22"/>
          <w:lang w:val="en-US"/>
        </w:rPr>
        <w:t>essions will deal with the topics: “Cognitive Power Electronics”, “Advanced Measurement Technology in Power Electronics” and “Advanced GaN Power Electronics”.</w:t>
      </w:r>
    </w:p>
    <w:p w14:paraId="12028782" w14:textId="77777777" w:rsidR="00160AA0" w:rsidRPr="005C54DB" w:rsidRDefault="00160AA0" w:rsidP="00160AA0">
      <w:pPr>
        <w:spacing w:line="288" w:lineRule="auto"/>
        <w:contextualSpacing/>
        <w:rPr>
          <w:rFonts w:cs="Arial"/>
          <w:szCs w:val="22"/>
          <w:lang w:val="en-US" w:bidi="de-DE"/>
        </w:rPr>
      </w:pPr>
    </w:p>
    <w:p w14:paraId="06153B94" w14:textId="109CD467" w:rsidR="00160AA0" w:rsidRPr="0094087B" w:rsidRDefault="00160AA0" w:rsidP="00160AA0">
      <w:pPr>
        <w:spacing w:line="280" w:lineRule="atLeast"/>
        <w:rPr>
          <w:rFonts w:cs="Arial"/>
          <w:szCs w:val="22"/>
          <w:lang w:val="en-US"/>
        </w:rPr>
      </w:pPr>
      <w:r w:rsidRPr="005C54DB">
        <w:rPr>
          <w:rFonts w:cs="Arial"/>
          <w:szCs w:val="22"/>
          <w:lang w:val="en-US"/>
        </w:rPr>
        <w:t>“On the one hand, this year’s conference will be offering outstanding presentations covering important future development</w:t>
      </w:r>
      <w:r w:rsidR="00323823">
        <w:rPr>
          <w:rFonts w:cs="Arial"/>
          <w:szCs w:val="22"/>
          <w:lang w:val="en-US"/>
        </w:rPr>
        <w:t>al</w:t>
      </w:r>
      <w:r w:rsidRPr="005C54DB">
        <w:rPr>
          <w:rFonts w:cs="Arial"/>
          <w:szCs w:val="22"/>
          <w:lang w:val="en-US"/>
        </w:rPr>
        <w:t xml:space="preserve"> directions, </w:t>
      </w:r>
      <w:r w:rsidR="00323823">
        <w:rPr>
          <w:rFonts w:cs="Arial"/>
          <w:szCs w:val="22"/>
          <w:lang w:val="en-US"/>
        </w:rPr>
        <w:t xml:space="preserve">these include </w:t>
      </w:r>
      <w:r w:rsidRPr="005C54DB">
        <w:rPr>
          <w:rFonts w:cs="Arial"/>
          <w:szCs w:val="22"/>
          <w:lang w:val="en-US"/>
        </w:rPr>
        <w:t>new module interfacing materials for wide bandgap devices achieving dedicated lifetime, advanced power converter technologies for transportation systems and renewable energy technologies or driving and protection strategies for u</w:t>
      </w:r>
      <w:r w:rsidR="00301214">
        <w:rPr>
          <w:rFonts w:cs="Arial"/>
          <w:szCs w:val="22"/>
          <w:lang w:val="en-US"/>
        </w:rPr>
        <w:t xml:space="preserve">ltrafast switching transistors”, summarizes </w:t>
      </w:r>
      <w:r w:rsidR="00301214" w:rsidRPr="005C54DB">
        <w:rPr>
          <w:rFonts w:cs="Arial"/>
          <w:szCs w:val="22"/>
          <w:lang w:val="en-US"/>
        </w:rPr>
        <w:t>Professor Leo Lorenz, Ge</w:t>
      </w:r>
      <w:bookmarkStart w:id="5" w:name="_GoBack"/>
      <w:bookmarkEnd w:id="5"/>
      <w:r w:rsidR="00301214" w:rsidRPr="005C54DB">
        <w:rPr>
          <w:rFonts w:cs="Arial"/>
          <w:szCs w:val="22"/>
          <w:lang w:val="en-US"/>
        </w:rPr>
        <w:t>neral Conference Director of PCIM Europe.</w:t>
      </w:r>
      <w:r w:rsidR="00301214">
        <w:rPr>
          <w:rFonts w:cs="Arial"/>
          <w:szCs w:val="22"/>
          <w:lang w:val="en-US"/>
        </w:rPr>
        <w:t xml:space="preserve"> </w:t>
      </w:r>
      <w:r w:rsidR="00323823">
        <w:rPr>
          <w:rFonts w:cs="Arial"/>
          <w:szCs w:val="22"/>
          <w:lang w:val="en-US"/>
        </w:rPr>
        <w:t>“</w:t>
      </w:r>
      <w:r w:rsidRPr="005C54DB">
        <w:rPr>
          <w:rFonts w:cs="Arial"/>
          <w:szCs w:val="22"/>
          <w:lang w:val="en-US"/>
        </w:rPr>
        <w:t xml:space="preserve">On the other </w:t>
      </w:r>
      <w:r w:rsidR="00301214">
        <w:rPr>
          <w:rFonts w:cs="Arial"/>
          <w:szCs w:val="22"/>
          <w:lang w:val="en-US"/>
        </w:rPr>
        <w:t>hand</w:t>
      </w:r>
      <w:r w:rsidRPr="005C54DB">
        <w:rPr>
          <w:rFonts w:cs="Arial"/>
          <w:szCs w:val="22"/>
          <w:lang w:val="en-US"/>
        </w:rPr>
        <w:t>, outsta</w:t>
      </w:r>
      <w:r w:rsidR="00323823">
        <w:rPr>
          <w:rFonts w:cs="Arial"/>
          <w:szCs w:val="22"/>
          <w:lang w:val="en-US"/>
        </w:rPr>
        <w:t>nding keynote presentations on ‘</w:t>
      </w:r>
      <w:r w:rsidRPr="005C54DB">
        <w:rPr>
          <w:rFonts w:cs="Arial"/>
          <w:szCs w:val="22"/>
          <w:lang w:val="en-US"/>
        </w:rPr>
        <w:t xml:space="preserve">Hydrogen – Key Element to Achieve Net Zero </w:t>
      </w:r>
      <w:r w:rsidR="00704396" w:rsidRPr="00704396">
        <w:rPr>
          <w:rFonts w:cs="Arial"/>
          <w:szCs w:val="22"/>
          <w:lang w:val="en-US"/>
        </w:rPr>
        <w:t>CO²</w:t>
      </w:r>
      <w:r w:rsidR="00323823">
        <w:rPr>
          <w:rFonts w:cs="Arial"/>
          <w:szCs w:val="22"/>
          <w:lang w:val="en-US"/>
        </w:rPr>
        <w:t>’ and ‘</w:t>
      </w:r>
      <w:r w:rsidRPr="005C54DB">
        <w:rPr>
          <w:rFonts w:cs="Arial"/>
          <w:szCs w:val="22"/>
          <w:lang w:val="en-US"/>
        </w:rPr>
        <w:t>Power Electronics f</w:t>
      </w:r>
      <w:r w:rsidR="00323823">
        <w:rPr>
          <w:rFonts w:cs="Arial"/>
          <w:szCs w:val="22"/>
          <w:lang w:val="en-US"/>
        </w:rPr>
        <w:t>or a Future Sustainable Society’</w:t>
      </w:r>
      <w:r w:rsidRPr="005C54DB">
        <w:rPr>
          <w:rFonts w:cs="Arial"/>
          <w:szCs w:val="22"/>
          <w:lang w:val="en-US"/>
        </w:rPr>
        <w:t xml:space="preserve"> will trigger inspiring discussions and important future open innovations. Experts from industry and </w:t>
      </w:r>
      <w:r w:rsidR="00645C33">
        <w:rPr>
          <w:rFonts w:cs="Arial"/>
          <w:szCs w:val="22"/>
          <w:lang w:val="en-US"/>
        </w:rPr>
        <w:t>academia</w:t>
      </w:r>
      <w:r>
        <w:rPr>
          <w:rFonts w:cs="Arial"/>
          <w:szCs w:val="22"/>
          <w:lang w:val="en-US"/>
        </w:rPr>
        <w:t xml:space="preserve"> </w:t>
      </w:r>
      <w:r w:rsidRPr="005C54DB">
        <w:rPr>
          <w:rFonts w:cs="Arial"/>
          <w:szCs w:val="22"/>
          <w:lang w:val="en-US"/>
        </w:rPr>
        <w:t xml:space="preserve">will benefit and </w:t>
      </w:r>
      <w:r w:rsidR="00323823">
        <w:rPr>
          <w:rFonts w:cs="Arial"/>
          <w:szCs w:val="22"/>
          <w:lang w:val="en-US"/>
        </w:rPr>
        <w:t xml:space="preserve">be able to </w:t>
      </w:r>
      <w:r w:rsidRPr="005C54DB">
        <w:rPr>
          <w:rFonts w:cs="Arial"/>
          <w:szCs w:val="22"/>
          <w:lang w:val="en-US"/>
        </w:rPr>
        <w:t>develop new future business models.</w:t>
      </w:r>
      <w:r w:rsidR="00301214">
        <w:rPr>
          <w:rFonts w:cs="Arial"/>
          <w:szCs w:val="22"/>
          <w:lang w:val="en-US"/>
        </w:rPr>
        <w:t>”</w:t>
      </w:r>
    </w:p>
    <w:p w14:paraId="779B5CD4" w14:textId="77777777" w:rsidR="00160AA0" w:rsidRPr="005C54DB" w:rsidRDefault="00160AA0" w:rsidP="00160AA0">
      <w:pPr>
        <w:spacing w:line="280" w:lineRule="atLeast"/>
        <w:rPr>
          <w:rFonts w:cs="Arial"/>
          <w:szCs w:val="22"/>
          <w:lang w:val="en-US"/>
        </w:rPr>
      </w:pPr>
    </w:p>
    <w:p w14:paraId="1E451679" w14:textId="77777777" w:rsidR="00160AA0" w:rsidRPr="005C54DB" w:rsidRDefault="00160AA0" w:rsidP="00160AA0">
      <w:pPr>
        <w:spacing w:line="280" w:lineRule="atLeast"/>
        <w:rPr>
          <w:rFonts w:cs="Arial"/>
          <w:szCs w:val="22"/>
          <w:lang w:val="en-US"/>
        </w:rPr>
      </w:pPr>
      <w:r w:rsidRPr="005C54DB">
        <w:rPr>
          <w:rFonts w:cs="Arial"/>
          <w:szCs w:val="22"/>
          <w:lang w:val="en-US"/>
        </w:rPr>
        <w:t>A wide range of seminars and tutorials on the two days prior to the PCIM Europe provide additional knowledge transfer at the highest level. This year's conference sponsors are Infineon, Mitsubishi Electric Europe and Semikron.</w:t>
      </w:r>
    </w:p>
    <w:p w14:paraId="5B7BD155" w14:textId="77777777" w:rsidR="00160AA0" w:rsidRPr="005C54DB" w:rsidRDefault="00160AA0" w:rsidP="00160AA0">
      <w:pPr>
        <w:spacing w:line="280" w:lineRule="atLeast"/>
        <w:rPr>
          <w:rFonts w:cs="Arial"/>
          <w:szCs w:val="22"/>
          <w:lang w:val="en-US"/>
        </w:rPr>
      </w:pPr>
    </w:p>
    <w:p w14:paraId="381A9E9E" w14:textId="1E3A90E0" w:rsidR="00160AA0" w:rsidRPr="00160AA0" w:rsidRDefault="00160AA0" w:rsidP="00160AA0">
      <w:pPr>
        <w:spacing w:line="280" w:lineRule="atLeast"/>
        <w:rPr>
          <w:rFonts w:cs="Arial"/>
          <w:szCs w:val="22"/>
          <w:lang w:val="en-US"/>
        </w:rPr>
      </w:pPr>
      <w:r w:rsidRPr="00160AA0">
        <w:rPr>
          <w:rFonts w:cs="Arial"/>
          <w:szCs w:val="22"/>
          <w:lang w:val="en-US"/>
        </w:rPr>
        <w:lastRenderedPageBreak/>
        <w:t xml:space="preserve">For the PCIM Europe Conference, </w:t>
      </w:r>
      <w:r w:rsidR="00301214">
        <w:rPr>
          <w:rFonts w:cs="Arial"/>
          <w:szCs w:val="22"/>
          <w:lang w:val="en-US"/>
        </w:rPr>
        <w:t>reduced</w:t>
      </w:r>
      <w:r w:rsidRPr="00160AA0">
        <w:rPr>
          <w:rFonts w:cs="Arial"/>
          <w:szCs w:val="22"/>
          <w:lang w:val="en-US"/>
        </w:rPr>
        <w:t xml:space="preserve"> early bird prices will apply until 3 March 2022. Further information on the program and the registration are available online at</w:t>
      </w:r>
      <w:r w:rsidRPr="005C54DB">
        <w:rPr>
          <w:rFonts w:cs="Arial"/>
          <w:szCs w:val="22"/>
          <w:lang w:val="en-US"/>
        </w:rPr>
        <w:t xml:space="preserve"> </w:t>
      </w:r>
      <w:hyperlink r:id="rId9" w:history="1">
        <w:r w:rsidRPr="005C54DB">
          <w:rPr>
            <w:rFonts w:cs="Arial"/>
            <w:szCs w:val="22"/>
            <w:lang w:val="en-US"/>
          </w:rPr>
          <w:t>pcim-europe.com</w:t>
        </w:r>
      </w:hyperlink>
      <w:r w:rsidRPr="00160AA0">
        <w:rPr>
          <w:rFonts w:cs="Arial"/>
          <w:szCs w:val="22"/>
          <w:lang w:val="en-US"/>
        </w:rPr>
        <w:t>.</w:t>
      </w:r>
    </w:p>
    <w:p w14:paraId="2C2A660B" w14:textId="77777777" w:rsidR="00160AA0" w:rsidRPr="00F60962" w:rsidRDefault="00160AA0" w:rsidP="00A9539C">
      <w:pPr>
        <w:spacing w:line="280" w:lineRule="atLeast"/>
        <w:rPr>
          <w:rFonts w:cs="Arial"/>
          <w:szCs w:val="22"/>
          <w:lang w:val="en-US"/>
        </w:rPr>
      </w:pPr>
    </w:p>
    <w:p w14:paraId="2301C64D" w14:textId="77777777" w:rsidR="00E92D87" w:rsidRPr="00534B20" w:rsidRDefault="00E92D87" w:rsidP="00E92D87">
      <w:pPr>
        <w:spacing w:line="320" w:lineRule="atLeast"/>
        <w:rPr>
          <w:rFonts w:cs="Arial"/>
          <w:b/>
          <w:sz w:val="17"/>
          <w:szCs w:val="17"/>
          <w:lang w:val="en-US"/>
        </w:rPr>
      </w:pPr>
      <w:bookmarkStart w:id="6" w:name="OLE_LINK1"/>
      <w:r w:rsidRPr="00534B20">
        <w:rPr>
          <w:rFonts w:cs="Arial"/>
          <w:b/>
          <w:sz w:val="17"/>
          <w:szCs w:val="17"/>
          <w:lang w:val="en-US"/>
        </w:rPr>
        <w:t>About Mesago Messe Frankfurt</w:t>
      </w:r>
    </w:p>
    <w:p w14:paraId="16214A8C" w14:textId="5CD21FC9"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Messe Frankfurt Group is the world’s largest trade fair, congress and event organiser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7DA633E" w14:textId="77777777" w:rsidR="006E511D" w:rsidRDefault="006E511D" w:rsidP="006E511D">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at: </w:t>
      </w:r>
      <w:hyperlink r:id="rId11" w:history="1">
        <w:r>
          <w:rPr>
            <w:rStyle w:val="Hyperlink"/>
            <w:rFonts w:cs="Arial"/>
            <w:sz w:val="17"/>
            <w:szCs w:val="17"/>
            <w:lang w:val="en-GB"/>
          </w:rPr>
          <w:t>www.messefrankfurt.com</w:t>
        </w:r>
      </w:hyperlink>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32382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323823">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35223"/>
    <w:multiLevelType w:val="hybridMultilevel"/>
    <w:tmpl w:val="A5EE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81EB8"/>
    <w:rsid w:val="000A3037"/>
    <w:rsid w:val="000C5FBB"/>
    <w:rsid w:val="001328EA"/>
    <w:rsid w:val="00160AA0"/>
    <w:rsid w:val="001A6029"/>
    <w:rsid w:val="002B4A8E"/>
    <w:rsid w:val="002B614F"/>
    <w:rsid w:val="002C7284"/>
    <w:rsid w:val="002E3A34"/>
    <w:rsid w:val="00301214"/>
    <w:rsid w:val="003114DE"/>
    <w:rsid w:val="00312A7C"/>
    <w:rsid w:val="00323823"/>
    <w:rsid w:val="003508E3"/>
    <w:rsid w:val="003A1ADA"/>
    <w:rsid w:val="003D0AF8"/>
    <w:rsid w:val="003D752C"/>
    <w:rsid w:val="004603C0"/>
    <w:rsid w:val="00466E77"/>
    <w:rsid w:val="004755AE"/>
    <w:rsid w:val="00533CC4"/>
    <w:rsid w:val="00534B20"/>
    <w:rsid w:val="0059533A"/>
    <w:rsid w:val="0060446C"/>
    <w:rsid w:val="00626C74"/>
    <w:rsid w:val="00645C33"/>
    <w:rsid w:val="00656EF7"/>
    <w:rsid w:val="00691EB1"/>
    <w:rsid w:val="006B1029"/>
    <w:rsid w:val="006C2B69"/>
    <w:rsid w:val="006E471B"/>
    <w:rsid w:val="006E511D"/>
    <w:rsid w:val="00700AC2"/>
    <w:rsid w:val="00701282"/>
    <w:rsid w:val="00704396"/>
    <w:rsid w:val="007057B0"/>
    <w:rsid w:val="007061D5"/>
    <w:rsid w:val="00711B7B"/>
    <w:rsid w:val="00746E53"/>
    <w:rsid w:val="007C3D0A"/>
    <w:rsid w:val="00811C84"/>
    <w:rsid w:val="008738D7"/>
    <w:rsid w:val="008902AF"/>
    <w:rsid w:val="008A214C"/>
    <w:rsid w:val="008C72A7"/>
    <w:rsid w:val="008E0EEC"/>
    <w:rsid w:val="00905620"/>
    <w:rsid w:val="00925C50"/>
    <w:rsid w:val="0094087B"/>
    <w:rsid w:val="00957B35"/>
    <w:rsid w:val="009655CA"/>
    <w:rsid w:val="00966898"/>
    <w:rsid w:val="00993BE7"/>
    <w:rsid w:val="009A59CF"/>
    <w:rsid w:val="009C32E9"/>
    <w:rsid w:val="009E626D"/>
    <w:rsid w:val="00A00D37"/>
    <w:rsid w:val="00A25CB0"/>
    <w:rsid w:val="00A44098"/>
    <w:rsid w:val="00A62464"/>
    <w:rsid w:val="00A9539C"/>
    <w:rsid w:val="00B04C44"/>
    <w:rsid w:val="00B4487B"/>
    <w:rsid w:val="00B576B1"/>
    <w:rsid w:val="00B82C6F"/>
    <w:rsid w:val="00BD2040"/>
    <w:rsid w:val="00BE07A1"/>
    <w:rsid w:val="00C05B36"/>
    <w:rsid w:val="00C248EE"/>
    <w:rsid w:val="00C761E9"/>
    <w:rsid w:val="00C841CC"/>
    <w:rsid w:val="00CE2D28"/>
    <w:rsid w:val="00D66C38"/>
    <w:rsid w:val="00D925D3"/>
    <w:rsid w:val="00DA6442"/>
    <w:rsid w:val="00DD4C6E"/>
    <w:rsid w:val="00DF47A4"/>
    <w:rsid w:val="00E308C9"/>
    <w:rsid w:val="00E92D87"/>
    <w:rsid w:val="00E92DB7"/>
    <w:rsid w:val="00EC75C8"/>
    <w:rsid w:val="00ED1F74"/>
    <w:rsid w:val="00F175BF"/>
    <w:rsid w:val="00F21328"/>
    <w:rsid w:val="00F24CD2"/>
    <w:rsid w:val="00F56456"/>
    <w:rsid w:val="00F60962"/>
    <w:rsid w:val="00F63D7D"/>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Listenabsatz">
    <w:name w:val="List Paragraph"/>
    <w:basedOn w:val="Standard"/>
    <w:uiPriority w:val="34"/>
    <w:qFormat/>
    <w:rsid w:val="00160AA0"/>
    <w:pPr>
      <w:widowControl/>
      <w:spacing w:line="240" w:lineRule="auto"/>
      <w:ind w:left="720"/>
      <w:contextualSpacing/>
    </w:pPr>
    <w:rPr>
      <w:rFonts w:ascii="Calibri" w:eastAsia="Calibri" w:hAnsi="Calibri" w:cs="Calibri"/>
      <w:szCs w:val="22"/>
      <w:lang w:eastAsia="en-US"/>
    </w:rPr>
  </w:style>
  <w:style w:type="character" w:styleId="Kommentarzeichen">
    <w:name w:val="annotation reference"/>
    <w:basedOn w:val="Absatz-Standardschriftart"/>
    <w:semiHidden/>
    <w:unhideWhenUsed/>
    <w:rsid w:val="00160AA0"/>
    <w:rPr>
      <w:sz w:val="16"/>
      <w:szCs w:val="16"/>
    </w:rPr>
  </w:style>
  <w:style w:type="paragraph" w:styleId="Kommentartext">
    <w:name w:val="annotation text"/>
    <w:basedOn w:val="Standard"/>
    <w:link w:val="KommentartextZchn"/>
    <w:semiHidden/>
    <w:unhideWhenUsed/>
    <w:rsid w:val="00160AA0"/>
    <w:pPr>
      <w:spacing w:line="240" w:lineRule="auto"/>
    </w:pPr>
    <w:rPr>
      <w:sz w:val="20"/>
    </w:rPr>
  </w:style>
  <w:style w:type="character" w:customStyle="1" w:styleId="KommentartextZchn">
    <w:name w:val="Kommentartext Zchn"/>
    <w:basedOn w:val="Absatz-Standardschriftart"/>
    <w:link w:val="Kommentartext"/>
    <w:semiHidden/>
    <w:rsid w:val="00160AA0"/>
    <w:rPr>
      <w:rFonts w:ascii="Arial" w:hAnsi="Arial"/>
    </w:rPr>
  </w:style>
  <w:style w:type="paragraph" w:styleId="Kommentarthema">
    <w:name w:val="annotation subject"/>
    <w:basedOn w:val="Kommentartext"/>
    <w:next w:val="Kommentartext"/>
    <w:link w:val="KommentarthemaZchn"/>
    <w:semiHidden/>
    <w:unhideWhenUsed/>
    <w:rsid w:val="00160AA0"/>
    <w:rPr>
      <w:b/>
      <w:bCs/>
    </w:rPr>
  </w:style>
  <w:style w:type="character" w:customStyle="1" w:styleId="KommentarthemaZchn">
    <w:name w:val="Kommentarthema Zchn"/>
    <w:basedOn w:val="KommentartextZchn"/>
    <w:link w:val="Kommentarthema"/>
    <w:semiHidden/>
    <w:rsid w:val="00160A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960920245">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xhibit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im.mesago.com/nuernberg/en.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092B-74A4-48EA-8DCD-7FFBAAFD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1000</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7287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Manglani, Vineeta (Mesago Stuttgart)</cp:lastModifiedBy>
  <cp:revision>34</cp:revision>
  <cp:lastPrinted>2014-08-08T15:06:00Z</cp:lastPrinted>
  <dcterms:created xsi:type="dcterms:W3CDTF">2018-10-16T09:45:00Z</dcterms:created>
  <dcterms:modified xsi:type="dcterms:W3CDTF">2022-02-16T10:07:00Z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