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6E188D7C" w:rsidR="00ED1F74" w:rsidRPr="004755AE" w:rsidRDefault="00F63F5D" w:rsidP="00D925D3">
            <w:pPr>
              <w:pStyle w:val="berschrift1"/>
              <w:ind w:left="0"/>
              <w:rPr>
                <w:b/>
                <w:sz w:val="22"/>
                <w:szCs w:val="22"/>
                <w:lang w:val="en-US"/>
              </w:rPr>
            </w:pPr>
            <w:r w:rsidRPr="004755AE">
              <w:rPr>
                <w:b/>
                <w:sz w:val="22"/>
                <w:szCs w:val="22"/>
                <w:lang w:val="en-US"/>
              </w:rPr>
              <w:t>Press</w:t>
            </w:r>
            <w:r w:rsidR="00925C50" w:rsidRPr="004755AE">
              <w:rPr>
                <w:b/>
                <w:sz w:val="22"/>
                <w:szCs w:val="22"/>
                <w:lang w:val="en-US"/>
              </w:rPr>
              <w:t xml:space="preserve"> release</w:t>
            </w:r>
          </w:p>
        </w:tc>
        <w:tc>
          <w:tcPr>
            <w:tcW w:w="2999" w:type="dxa"/>
          </w:tcPr>
          <w:p w14:paraId="34423BC2" w14:textId="3B23A8EE" w:rsidR="00ED1F74" w:rsidRDefault="0058570D"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9 May</w:t>
            </w:r>
            <w:r w:rsidR="001676C7">
              <w:rPr>
                <w:noProof/>
                <w:szCs w:val="22"/>
                <w:lang w:val="en-US"/>
              </w:rPr>
              <w:t xml:space="preserve"> 2023</w:t>
            </w:r>
          </w:p>
        </w:tc>
      </w:tr>
      <w:tr w:rsidR="00ED1F74" w:rsidRPr="008C72A7" w14:paraId="540ADAB2" w14:textId="77777777" w:rsidTr="00E92D87">
        <w:trPr>
          <w:trHeight w:val="1551"/>
        </w:trPr>
        <w:tc>
          <w:tcPr>
            <w:tcW w:w="7348" w:type="dxa"/>
            <w:tcMar>
              <w:top w:w="0" w:type="dxa"/>
            </w:tcMar>
          </w:tcPr>
          <w:p w14:paraId="5989C202" w14:textId="77777777" w:rsidR="0058570D" w:rsidRPr="0058570D" w:rsidRDefault="0058570D" w:rsidP="003D0AF8">
            <w:pPr>
              <w:spacing w:line="280" w:lineRule="atLeast"/>
              <w:rPr>
                <w:rFonts w:cs="Arial"/>
                <w:b/>
                <w:bCs/>
                <w:sz w:val="36"/>
                <w:szCs w:val="36"/>
                <w:lang w:val="en-US"/>
              </w:rPr>
            </w:pPr>
            <w:bookmarkStart w:id="1" w:name="Thema1"/>
            <w:bookmarkStart w:id="2" w:name="Thema2"/>
            <w:bookmarkEnd w:id="1"/>
            <w:bookmarkEnd w:id="2"/>
            <w:r w:rsidRPr="0058570D">
              <w:rPr>
                <w:rFonts w:cs="Arial"/>
                <w:b/>
                <w:bCs/>
                <w:sz w:val="36"/>
                <w:szCs w:val="36"/>
                <w:lang w:val="en-US"/>
              </w:rPr>
              <w:t xml:space="preserve">Embargo 9 May 2023, 10 a.m. </w:t>
            </w:r>
          </w:p>
          <w:p w14:paraId="2EC66BC4" w14:textId="3AD5C67E" w:rsidR="003D0AF8" w:rsidRPr="001676C7" w:rsidRDefault="0058570D" w:rsidP="003D0AF8">
            <w:pPr>
              <w:spacing w:line="280" w:lineRule="atLeast"/>
              <w:rPr>
                <w:rFonts w:cs="Arial"/>
                <w:sz w:val="36"/>
                <w:szCs w:val="36"/>
                <w:lang w:val="en-US"/>
              </w:rPr>
            </w:pPr>
            <w:r>
              <w:rPr>
                <w:rFonts w:cs="Arial"/>
                <w:sz w:val="36"/>
                <w:szCs w:val="36"/>
                <w:lang w:val="en-US"/>
              </w:rPr>
              <w:t>Award winners of the PCIM Europe conference 2023 announced</w:t>
            </w:r>
            <w:r w:rsidR="001676C7" w:rsidRPr="001676C7">
              <w:rPr>
                <w:rFonts w:cs="Arial"/>
                <w:sz w:val="36"/>
                <w:szCs w:val="36"/>
                <w:lang w:val="en-US"/>
              </w:rPr>
              <w:t xml:space="preserve"> </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A92863"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30C90A86" w14:textId="3E377189" w:rsidR="001676C7" w:rsidRDefault="0058570D" w:rsidP="00A9539C">
      <w:pPr>
        <w:spacing w:line="280" w:lineRule="atLeast"/>
        <w:rPr>
          <w:rFonts w:cs="Arial"/>
          <w:b/>
          <w:szCs w:val="22"/>
          <w:lang w:val="en-US"/>
        </w:rPr>
      </w:pPr>
      <w:bookmarkStart w:id="4" w:name="V_head1"/>
      <w:bookmarkEnd w:id="4"/>
      <w:r w:rsidRPr="0058570D">
        <w:rPr>
          <w:rFonts w:cs="Arial"/>
          <w:b/>
          <w:szCs w:val="22"/>
          <w:lang w:val="en-US"/>
        </w:rPr>
        <w:t xml:space="preserve">Just in time for the start of the PCIM Europe conference, the first winners have been announced: A total of five outstanding submissions convinced the jury </w:t>
      </w:r>
      <w:r w:rsidR="00486E16">
        <w:rPr>
          <w:rFonts w:cs="Arial"/>
          <w:b/>
          <w:szCs w:val="22"/>
          <w:lang w:val="en-US"/>
        </w:rPr>
        <w:t>during</w:t>
      </w:r>
      <w:r w:rsidRPr="0058570D">
        <w:rPr>
          <w:rFonts w:cs="Arial"/>
          <w:b/>
          <w:szCs w:val="22"/>
          <w:lang w:val="en-US"/>
        </w:rPr>
        <w:t xml:space="preserve"> the evaluation</w:t>
      </w:r>
      <w:r w:rsidR="00486E16">
        <w:rPr>
          <w:rFonts w:cs="Arial"/>
          <w:b/>
          <w:szCs w:val="22"/>
          <w:lang w:val="en-US"/>
        </w:rPr>
        <w:t xml:space="preserve"> process.</w:t>
      </w:r>
      <w:r w:rsidRPr="0058570D">
        <w:rPr>
          <w:rFonts w:cs="Arial"/>
          <w:b/>
          <w:szCs w:val="22"/>
          <w:lang w:val="en-US"/>
        </w:rPr>
        <w:t xml:space="preserve"> </w:t>
      </w:r>
    </w:p>
    <w:p w14:paraId="3F18C7F0" w14:textId="77777777" w:rsidR="0058570D" w:rsidRPr="001676C7" w:rsidRDefault="0058570D" w:rsidP="00A9539C">
      <w:pPr>
        <w:spacing w:line="280" w:lineRule="atLeast"/>
        <w:rPr>
          <w:rFonts w:cs="Arial"/>
          <w:szCs w:val="22"/>
          <w:lang w:val="en-US"/>
        </w:rPr>
      </w:pPr>
    </w:p>
    <w:p w14:paraId="6BF83CCA" w14:textId="5794CAF3" w:rsidR="003C611D" w:rsidRDefault="0058570D" w:rsidP="0058570D">
      <w:pPr>
        <w:spacing w:line="280" w:lineRule="atLeast"/>
        <w:rPr>
          <w:rFonts w:cs="Arial"/>
          <w:szCs w:val="22"/>
          <w:lang w:val="en-US"/>
        </w:rPr>
      </w:pPr>
      <w:r w:rsidRPr="0058570D">
        <w:rPr>
          <w:rFonts w:cs="Arial"/>
          <w:szCs w:val="22"/>
          <w:lang w:val="en-US"/>
        </w:rPr>
        <w:t xml:space="preserve">Since 2008, the PCIM Europe Conference has been presenting this annual honor to young talents in the power electronics industry. The </w:t>
      </w:r>
      <w:r w:rsidR="00486E16">
        <w:rPr>
          <w:rFonts w:cs="Arial"/>
          <w:szCs w:val="22"/>
          <w:lang w:val="en-US"/>
        </w:rPr>
        <w:t xml:space="preserve">winning </w:t>
      </w:r>
      <w:r w:rsidRPr="0058570D">
        <w:rPr>
          <w:rFonts w:cs="Arial"/>
          <w:szCs w:val="22"/>
          <w:lang w:val="en-US"/>
        </w:rPr>
        <w:t xml:space="preserve">contributions will be presented by the </w:t>
      </w:r>
      <w:r w:rsidR="00486E16">
        <w:rPr>
          <w:rFonts w:cs="Arial"/>
          <w:szCs w:val="22"/>
          <w:lang w:val="en-US"/>
        </w:rPr>
        <w:t xml:space="preserve">successful candidates </w:t>
      </w:r>
      <w:r w:rsidRPr="0058570D">
        <w:rPr>
          <w:rFonts w:cs="Arial"/>
          <w:szCs w:val="22"/>
          <w:lang w:val="en-US"/>
        </w:rPr>
        <w:t xml:space="preserve">at the conference from 9.5.2023 </w:t>
      </w:r>
      <w:r>
        <w:rPr>
          <w:rFonts w:cs="Arial"/>
          <w:szCs w:val="22"/>
          <w:lang w:val="en-US"/>
        </w:rPr>
        <w:t xml:space="preserve">– </w:t>
      </w:r>
      <w:r w:rsidRPr="0058570D">
        <w:rPr>
          <w:rFonts w:cs="Arial"/>
          <w:szCs w:val="22"/>
          <w:lang w:val="en-US"/>
        </w:rPr>
        <w:t>1</w:t>
      </w:r>
      <w:r>
        <w:rPr>
          <w:rFonts w:cs="Arial"/>
          <w:szCs w:val="22"/>
          <w:lang w:val="en-US"/>
        </w:rPr>
        <w:t>1</w:t>
      </w:r>
      <w:r w:rsidRPr="0058570D">
        <w:rPr>
          <w:rFonts w:cs="Arial"/>
          <w:szCs w:val="22"/>
          <w:lang w:val="en-US"/>
        </w:rPr>
        <w:t>.5.2023.</w:t>
      </w:r>
    </w:p>
    <w:p w14:paraId="40E01BE8" w14:textId="77777777" w:rsidR="0058570D" w:rsidRDefault="0058570D" w:rsidP="0058570D">
      <w:pPr>
        <w:spacing w:line="280" w:lineRule="atLeast"/>
        <w:rPr>
          <w:rFonts w:cs="Arial"/>
          <w:szCs w:val="22"/>
          <w:lang w:val="en-US"/>
        </w:rPr>
      </w:pPr>
    </w:p>
    <w:p w14:paraId="7D6A5FB5" w14:textId="56940088" w:rsidR="0058570D" w:rsidRDefault="0058570D" w:rsidP="0058570D">
      <w:pPr>
        <w:spacing w:line="280" w:lineRule="atLeast"/>
        <w:rPr>
          <w:rFonts w:cs="Arial"/>
          <w:szCs w:val="22"/>
          <w:lang w:val="en-US"/>
        </w:rPr>
      </w:pPr>
      <w:r w:rsidRPr="0058570D">
        <w:rPr>
          <w:rFonts w:cs="Arial"/>
          <w:szCs w:val="22"/>
          <w:lang w:val="en-US"/>
        </w:rPr>
        <w:t xml:space="preserve">Three Best Paper Awards, one Young Engineer Award and one Young Researcher Award were </w:t>
      </w:r>
      <w:r w:rsidR="00486E16">
        <w:rPr>
          <w:rFonts w:cs="Arial"/>
          <w:szCs w:val="22"/>
          <w:lang w:val="en-US"/>
        </w:rPr>
        <w:t xml:space="preserve">honored </w:t>
      </w:r>
      <w:r w:rsidRPr="0058570D">
        <w:rPr>
          <w:rFonts w:cs="Arial"/>
          <w:szCs w:val="22"/>
          <w:lang w:val="en-US"/>
        </w:rPr>
        <w:t xml:space="preserve">once again this year. The PCIM Europe Advisory Board, chaired by Prof. Dr. Leo Lorenz, ECPE, selected the five winners from over 400 submissions. The main criteria were the timeliness, </w:t>
      </w:r>
      <w:proofErr w:type="gramStart"/>
      <w:r w:rsidRPr="0058570D">
        <w:rPr>
          <w:rFonts w:cs="Arial"/>
          <w:szCs w:val="22"/>
          <w:lang w:val="en-US"/>
        </w:rPr>
        <w:t>relevance</w:t>
      </w:r>
      <w:proofErr w:type="gramEnd"/>
      <w:r w:rsidRPr="0058570D">
        <w:rPr>
          <w:rFonts w:cs="Arial"/>
          <w:szCs w:val="22"/>
          <w:lang w:val="en-US"/>
        </w:rPr>
        <w:t xml:space="preserve"> and quality of the submission.</w:t>
      </w:r>
      <w:bookmarkStart w:id="5" w:name="OLE_LINK1"/>
    </w:p>
    <w:p w14:paraId="6FBF2071" w14:textId="124C8212" w:rsidR="0058570D" w:rsidRDefault="0058570D" w:rsidP="0058570D">
      <w:pPr>
        <w:spacing w:line="280" w:lineRule="atLeast"/>
        <w:rPr>
          <w:rFonts w:cs="Arial"/>
          <w:szCs w:val="22"/>
          <w:lang w:val="en-US"/>
        </w:rPr>
      </w:pPr>
    </w:p>
    <w:p w14:paraId="1C269920" w14:textId="40EA6873" w:rsidR="0058570D" w:rsidRDefault="0058570D" w:rsidP="0058570D">
      <w:pPr>
        <w:spacing w:line="280" w:lineRule="atLeast"/>
        <w:rPr>
          <w:rFonts w:cs="Arial"/>
          <w:szCs w:val="22"/>
          <w:lang w:val="en-US"/>
        </w:rPr>
      </w:pPr>
      <w:r w:rsidRPr="0058570D">
        <w:rPr>
          <w:rFonts w:cs="Arial"/>
          <w:szCs w:val="22"/>
          <w:lang w:val="en-US"/>
        </w:rPr>
        <w:t xml:space="preserve">The awards were presented by Prof. Dr. Leo Lorenz and this year's conference sponsors Semikron Danfoss, Littelfuse, Infineon, </w:t>
      </w:r>
      <w:proofErr w:type="gramStart"/>
      <w:r w:rsidRPr="0058570D">
        <w:rPr>
          <w:rFonts w:cs="Arial"/>
          <w:szCs w:val="22"/>
          <w:lang w:val="en-US"/>
        </w:rPr>
        <w:t>VW</w:t>
      </w:r>
      <w:proofErr w:type="gramEnd"/>
      <w:r w:rsidRPr="0058570D">
        <w:rPr>
          <w:rFonts w:cs="Arial"/>
          <w:szCs w:val="22"/>
          <w:lang w:val="en-US"/>
        </w:rPr>
        <w:t xml:space="preserve"> and Mitsubishi Electric</w:t>
      </w:r>
      <w:r w:rsidR="00B7667D">
        <w:rPr>
          <w:rFonts w:cs="Arial"/>
          <w:szCs w:val="22"/>
          <w:lang w:val="en-US"/>
        </w:rPr>
        <w:t xml:space="preserve">. </w:t>
      </w:r>
      <w:r w:rsidRPr="0058570D">
        <w:rPr>
          <w:rFonts w:cs="Arial"/>
          <w:szCs w:val="22"/>
          <w:lang w:val="en-US"/>
        </w:rPr>
        <w:t xml:space="preserve">The winners of the awards will also receive prize money of </w:t>
      </w:r>
      <w:r w:rsidR="00486E16" w:rsidRPr="0058570D">
        <w:rPr>
          <w:rFonts w:cs="Arial"/>
          <w:szCs w:val="22"/>
          <w:lang w:val="en-US"/>
        </w:rPr>
        <w:t>€</w:t>
      </w:r>
      <w:r w:rsidRPr="0058570D">
        <w:rPr>
          <w:rFonts w:cs="Arial"/>
          <w:szCs w:val="22"/>
          <w:lang w:val="en-US"/>
        </w:rPr>
        <w:t>1,000.</w:t>
      </w:r>
    </w:p>
    <w:p w14:paraId="0C98FD65" w14:textId="132D4317" w:rsidR="0058570D" w:rsidRDefault="0058570D" w:rsidP="0058570D">
      <w:pPr>
        <w:spacing w:line="280" w:lineRule="atLeast"/>
        <w:rPr>
          <w:rFonts w:cs="Arial"/>
          <w:szCs w:val="22"/>
          <w:lang w:val="en-US"/>
        </w:rPr>
      </w:pPr>
    </w:p>
    <w:p w14:paraId="4A737BEF" w14:textId="22EDCF52" w:rsidR="0058570D" w:rsidRDefault="0058570D" w:rsidP="0058570D">
      <w:pPr>
        <w:spacing w:line="280" w:lineRule="atLeast"/>
        <w:rPr>
          <w:rFonts w:cs="Arial"/>
          <w:szCs w:val="22"/>
          <w:lang w:val="en-US"/>
        </w:rPr>
      </w:pPr>
      <w:r w:rsidRPr="0058570D">
        <w:rPr>
          <w:rFonts w:cs="Arial"/>
          <w:szCs w:val="22"/>
          <w:lang w:val="en-US"/>
        </w:rPr>
        <w:t>The Best Paper Award honored the top three submissions overall. Engineers aged 30 or younger were eligible to apply for the Young Engineer Award. Since 2022, the Young Researcher Award has been given to an author aged 30 or under from the field of science and research institutions.</w:t>
      </w:r>
    </w:p>
    <w:p w14:paraId="18374732" w14:textId="1BB30ACE" w:rsidR="0058570D" w:rsidRDefault="0058570D" w:rsidP="0058570D">
      <w:pPr>
        <w:spacing w:line="280" w:lineRule="atLeast"/>
        <w:rPr>
          <w:rFonts w:cs="Arial"/>
          <w:szCs w:val="22"/>
          <w:lang w:val="en-US"/>
        </w:rPr>
      </w:pPr>
    </w:p>
    <w:p w14:paraId="5599006C" w14:textId="596DF4CA" w:rsidR="0058570D" w:rsidRPr="0058570D" w:rsidRDefault="0058570D" w:rsidP="0058570D">
      <w:pPr>
        <w:spacing w:line="280" w:lineRule="atLeast"/>
        <w:rPr>
          <w:rFonts w:cs="Arial"/>
          <w:szCs w:val="22"/>
          <w:lang w:val="en-US"/>
        </w:rPr>
      </w:pPr>
      <w:r w:rsidRPr="0058570D">
        <w:rPr>
          <w:rFonts w:cs="Arial"/>
          <w:szCs w:val="22"/>
          <w:lang w:val="en-US"/>
        </w:rPr>
        <w:t xml:space="preserve">The winners of the three Best Paper Awards </w:t>
      </w:r>
      <w:r>
        <w:rPr>
          <w:rFonts w:cs="Arial"/>
          <w:szCs w:val="22"/>
          <w:lang w:val="en-US"/>
        </w:rPr>
        <w:t>are</w:t>
      </w:r>
      <w:r w:rsidRPr="0058570D">
        <w:rPr>
          <w:rFonts w:cs="Arial"/>
          <w:szCs w:val="22"/>
          <w:lang w:val="en-US"/>
        </w:rPr>
        <w:t xml:space="preserve">: </w:t>
      </w:r>
    </w:p>
    <w:p w14:paraId="69B20134" w14:textId="77777777" w:rsidR="0058570D" w:rsidRPr="0058570D" w:rsidRDefault="0058570D" w:rsidP="0058570D">
      <w:pPr>
        <w:spacing w:line="280" w:lineRule="atLeast"/>
        <w:rPr>
          <w:rFonts w:cs="Arial"/>
          <w:szCs w:val="22"/>
          <w:lang w:val="en-US"/>
        </w:rPr>
      </w:pPr>
    </w:p>
    <w:p w14:paraId="6CE51D27" w14:textId="7EEC10B3" w:rsidR="0058570D" w:rsidRPr="00AC69AE" w:rsidRDefault="0058570D" w:rsidP="0058570D">
      <w:pPr>
        <w:spacing w:line="280" w:lineRule="atLeast"/>
        <w:rPr>
          <w:rFonts w:cs="Arial"/>
          <w:b/>
          <w:bCs/>
          <w:szCs w:val="22"/>
          <w:lang w:val="en-US"/>
        </w:rPr>
      </w:pPr>
      <w:r w:rsidRPr="00AC69AE">
        <w:rPr>
          <w:rFonts w:cs="Arial"/>
          <w:b/>
          <w:bCs/>
          <w:szCs w:val="22"/>
          <w:lang w:val="en-US"/>
        </w:rPr>
        <w:t xml:space="preserve">Ralf Schmidt, Siemens, </w:t>
      </w:r>
      <w:r>
        <w:rPr>
          <w:rFonts w:cs="Arial"/>
          <w:b/>
          <w:bCs/>
          <w:szCs w:val="22"/>
          <w:lang w:val="en-US"/>
        </w:rPr>
        <w:t>Germany</w:t>
      </w:r>
    </w:p>
    <w:p w14:paraId="2C9C4546" w14:textId="77777777" w:rsidR="0058570D" w:rsidRDefault="0058570D" w:rsidP="0058570D">
      <w:pPr>
        <w:spacing w:line="280" w:lineRule="atLeast"/>
        <w:rPr>
          <w:rFonts w:cs="Arial"/>
          <w:szCs w:val="22"/>
          <w:lang w:val="x-none"/>
        </w:rPr>
      </w:pPr>
      <w:r w:rsidRPr="00A5239F">
        <w:rPr>
          <w:rFonts w:cs="Arial"/>
          <w:szCs w:val="22"/>
          <w:lang w:val="x-none"/>
        </w:rPr>
        <w:t>Impact of Current Density on Wire Bond Lifetime – Power Cycle Testing</w:t>
      </w:r>
      <w:r w:rsidRPr="00A5239F">
        <w:rPr>
          <w:rFonts w:cs="Arial"/>
          <w:szCs w:val="22"/>
          <w:lang w:val="en-US"/>
        </w:rPr>
        <w:t xml:space="preserve"> </w:t>
      </w:r>
      <w:r w:rsidRPr="00A5239F">
        <w:rPr>
          <w:rFonts w:cs="Arial"/>
          <w:szCs w:val="22"/>
          <w:lang w:val="x-none"/>
        </w:rPr>
        <w:t>with Clamped VCE for Realistic Current Stress</w:t>
      </w:r>
    </w:p>
    <w:p w14:paraId="021A5BAF" w14:textId="77777777" w:rsidR="0058570D" w:rsidRDefault="0058570D" w:rsidP="0058570D">
      <w:pPr>
        <w:spacing w:line="280" w:lineRule="atLeast"/>
        <w:rPr>
          <w:rFonts w:cs="Arial"/>
          <w:szCs w:val="22"/>
          <w:lang w:val="x-none"/>
        </w:rPr>
      </w:pPr>
    </w:p>
    <w:p w14:paraId="483C0677" w14:textId="4A60EE92" w:rsidR="0058570D" w:rsidRPr="00A5239F" w:rsidRDefault="0058570D" w:rsidP="0058570D">
      <w:pPr>
        <w:spacing w:line="280" w:lineRule="atLeast"/>
        <w:rPr>
          <w:rFonts w:cs="Arial"/>
          <w:b/>
          <w:bCs/>
          <w:szCs w:val="22"/>
          <w:lang w:val="en-US"/>
        </w:rPr>
      </w:pPr>
      <w:r w:rsidRPr="00A5239F">
        <w:rPr>
          <w:rFonts w:cs="Arial"/>
          <w:b/>
          <w:bCs/>
          <w:szCs w:val="22"/>
          <w:lang w:val="x-none"/>
        </w:rPr>
        <w:t xml:space="preserve">Martin Guillet, SuperGrid Institute, </w:t>
      </w:r>
      <w:r>
        <w:rPr>
          <w:rFonts w:cs="Arial"/>
          <w:b/>
          <w:bCs/>
          <w:szCs w:val="22"/>
          <w:lang w:val="en-US"/>
        </w:rPr>
        <w:t>France</w:t>
      </w:r>
    </w:p>
    <w:p w14:paraId="539C3D09" w14:textId="03AD4424" w:rsidR="0058570D" w:rsidRPr="0058570D" w:rsidRDefault="0058570D" w:rsidP="0058570D">
      <w:pPr>
        <w:spacing w:line="280" w:lineRule="atLeast"/>
        <w:rPr>
          <w:rFonts w:cs="Arial"/>
          <w:szCs w:val="22"/>
          <w:lang w:val="x-none"/>
        </w:rPr>
      </w:pPr>
      <w:r w:rsidRPr="00A5239F">
        <w:rPr>
          <w:rFonts w:cs="Arial"/>
          <w:szCs w:val="22"/>
          <w:lang w:val="x-none"/>
        </w:rPr>
        <w:t>Design and Testing of a Compact Dry Insulated Medium Frequency Transformer</w:t>
      </w:r>
      <w:r w:rsidRPr="00A5239F">
        <w:rPr>
          <w:rFonts w:cs="Arial"/>
          <w:szCs w:val="22"/>
          <w:lang w:val="en-US"/>
        </w:rPr>
        <w:t xml:space="preserve"> </w:t>
      </w:r>
      <w:r w:rsidRPr="00A5239F">
        <w:rPr>
          <w:rFonts w:cs="Arial"/>
          <w:szCs w:val="22"/>
          <w:lang w:val="x-none"/>
        </w:rPr>
        <w:t>Prototype for Medium Voltage Applications</w:t>
      </w:r>
    </w:p>
    <w:p w14:paraId="2BDE5B49" w14:textId="77777777" w:rsidR="0058570D" w:rsidRDefault="0058570D" w:rsidP="0058570D">
      <w:pPr>
        <w:spacing w:line="280" w:lineRule="atLeast"/>
        <w:rPr>
          <w:rFonts w:cs="Arial"/>
          <w:b/>
          <w:bCs/>
          <w:szCs w:val="22"/>
          <w:lang w:val="x-none"/>
        </w:rPr>
      </w:pPr>
    </w:p>
    <w:p w14:paraId="0C60D145" w14:textId="6E114513" w:rsidR="0058570D" w:rsidRPr="0058570D" w:rsidRDefault="0058570D" w:rsidP="0058570D">
      <w:pPr>
        <w:spacing w:line="280" w:lineRule="atLeast"/>
        <w:rPr>
          <w:rFonts w:cs="Arial"/>
          <w:b/>
          <w:bCs/>
          <w:szCs w:val="22"/>
          <w:lang w:val="en-US"/>
        </w:rPr>
      </w:pPr>
      <w:r w:rsidRPr="00A5239F">
        <w:rPr>
          <w:rFonts w:cs="Arial"/>
          <w:b/>
          <w:bCs/>
          <w:szCs w:val="22"/>
          <w:lang w:val="x-none"/>
        </w:rPr>
        <w:t xml:space="preserve">Hamzeh Beiranvand, Christian-Albrechts-University Kiel, </w:t>
      </w:r>
      <w:r w:rsidRPr="0058570D">
        <w:rPr>
          <w:rFonts w:cs="Arial"/>
          <w:b/>
          <w:bCs/>
          <w:szCs w:val="22"/>
          <w:lang w:val="en-US"/>
        </w:rPr>
        <w:t>Germany</w:t>
      </w:r>
    </w:p>
    <w:p w14:paraId="7948FE0F" w14:textId="77777777" w:rsidR="0058570D" w:rsidRPr="00A5239F" w:rsidRDefault="0058570D" w:rsidP="0058570D">
      <w:pPr>
        <w:spacing w:line="280" w:lineRule="atLeast"/>
        <w:rPr>
          <w:rFonts w:cs="Arial"/>
          <w:szCs w:val="22"/>
          <w:lang w:val="x-none"/>
        </w:rPr>
      </w:pPr>
      <w:r w:rsidRPr="00A5239F">
        <w:rPr>
          <w:rFonts w:cs="Arial"/>
          <w:szCs w:val="22"/>
          <w:lang w:val="x-none"/>
        </w:rPr>
        <w:t>Advanced Solid-State-based Protection Scheme for High-Voltage Li-ion Battery</w:t>
      </w:r>
      <w:r w:rsidRPr="00A5239F">
        <w:rPr>
          <w:rFonts w:cs="Arial"/>
          <w:szCs w:val="22"/>
          <w:lang w:val="en-US"/>
        </w:rPr>
        <w:t xml:space="preserve"> </w:t>
      </w:r>
      <w:r w:rsidRPr="00A5239F">
        <w:rPr>
          <w:rFonts w:cs="Arial"/>
          <w:szCs w:val="22"/>
          <w:lang w:val="x-none"/>
        </w:rPr>
        <w:t>Energy Storage System</w:t>
      </w:r>
    </w:p>
    <w:p w14:paraId="004775EC" w14:textId="77777777" w:rsidR="0058570D" w:rsidRPr="00A5239F" w:rsidRDefault="0058570D" w:rsidP="0058570D">
      <w:pPr>
        <w:spacing w:line="280" w:lineRule="atLeast"/>
        <w:rPr>
          <w:rFonts w:cs="Arial"/>
          <w:szCs w:val="22"/>
          <w:lang w:val="en-US"/>
        </w:rPr>
      </w:pPr>
    </w:p>
    <w:p w14:paraId="5EB66528" w14:textId="77777777" w:rsidR="00B7667D" w:rsidRDefault="00B7667D" w:rsidP="0058570D">
      <w:pPr>
        <w:spacing w:line="280" w:lineRule="atLeast"/>
        <w:rPr>
          <w:rFonts w:cs="Arial"/>
          <w:szCs w:val="22"/>
          <w:lang w:val="en-US"/>
        </w:rPr>
      </w:pPr>
    </w:p>
    <w:p w14:paraId="6081CAD3" w14:textId="186B12A1" w:rsidR="0058570D" w:rsidRDefault="0058570D" w:rsidP="0058570D">
      <w:pPr>
        <w:spacing w:line="280" w:lineRule="atLeast"/>
        <w:rPr>
          <w:rFonts w:cs="Arial"/>
          <w:szCs w:val="22"/>
          <w:lang w:val="en-US"/>
        </w:rPr>
      </w:pPr>
      <w:r w:rsidRPr="0058570D">
        <w:rPr>
          <w:rFonts w:cs="Arial"/>
          <w:szCs w:val="22"/>
          <w:lang w:val="en-US"/>
        </w:rPr>
        <w:lastRenderedPageBreak/>
        <w:t>The Young Engineer Award was given to:</w:t>
      </w:r>
    </w:p>
    <w:p w14:paraId="6BE8C821" w14:textId="77777777" w:rsidR="0058570D" w:rsidRPr="0058570D" w:rsidRDefault="0058570D" w:rsidP="0058570D">
      <w:pPr>
        <w:spacing w:line="280" w:lineRule="atLeast"/>
        <w:rPr>
          <w:rFonts w:cs="Arial"/>
          <w:szCs w:val="22"/>
          <w:lang w:val="en-US"/>
        </w:rPr>
      </w:pPr>
    </w:p>
    <w:p w14:paraId="6E4EFD8E" w14:textId="14ABC9F5" w:rsidR="0058570D" w:rsidRPr="00486E16" w:rsidRDefault="0058570D" w:rsidP="0058570D">
      <w:pPr>
        <w:spacing w:line="280" w:lineRule="atLeast"/>
        <w:rPr>
          <w:rFonts w:cs="Arial"/>
          <w:b/>
          <w:bCs/>
          <w:szCs w:val="22"/>
          <w:lang w:val="en-US"/>
        </w:rPr>
      </w:pPr>
      <w:r w:rsidRPr="00486E16">
        <w:rPr>
          <w:rFonts w:cs="Arial"/>
          <w:b/>
          <w:bCs/>
          <w:szCs w:val="22"/>
          <w:lang w:val="en-US"/>
        </w:rPr>
        <w:t>Leonhard Hertenstein, Mercedes Benz, Germany</w:t>
      </w:r>
    </w:p>
    <w:p w14:paraId="676228EB" w14:textId="77777777" w:rsidR="0058570D" w:rsidRPr="00486E16" w:rsidRDefault="0058570D" w:rsidP="0058570D">
      <w:pPr>
        <w:spacing w:line="280" w:lineRule="atLeast"/>
        <w:rPr>
          <w:rFonts w:cs="Arial"/>
          <w:szCs w:val="22"/>
          <w:lang w:val="en-US"/>
        </w:rPr>
      </w:pPr>
      <w:r w:rsidRPr="00486E16">
        <w:rPr>
          <w:rFonts w:cs="Arial"/>
          <w:szCs w:val="22"/>
          <w:lang w:val="en-US"/>
        </w:rPr>
        <w:t>Machine-Learning Approach to Model Junction Temperatures in Automotive Inverters</w:t>
      </w:r>
    </w:p>
    <w:p w14:paraId="3BC8B4C9" w14:textId="77777777" w:rsidR="0058570D" w:rsidRPr="00486E16" w:rsidRDefault="0058570D" w:rsidP="0058570D">
      <w:pPr>
        <w:spacing w:line="280" w:lineRule="atLeast"/>
        <w:rPr>
          <w:rFonts w:cs="Arial"/>
          <w:szCs w:val="22"/>
          <w:lang w:val="en-US"/>
        </w:rPr>
      </w:pPr>
    </w:p>
    <w:p w14:paraId="1DCC4EB3" w14:textId="262FA521" w:rsidR="0058570D" w:rsidRPr="0058570D" w:rsidRDefault="0058570D" w:rsidP="0058570D">
      <w:pPr>
        <w:spacing w:line="280" w:lineRule="atLeast"/>
        <w:rPr>
          <w:rFonts w:cs="Arial"/>
          <w:szCs w:val="22"/>
          <w:lang w:val="en-US"/>
        </w:rPr>
      </w:pPr>
      <w:r w:rsidRPr="0058570D">
        <w:rPr>
          <w:rFonts w:cs="Arial"/>
          <w:szCs w:val="22"/>
          <w:lang w:val="en-US"/>
        </w:rPr>
        <w:t xml:space="preserve">The winner of the Young Researcher Award is: </w:t>
      </w:r>
    </w:p>
    <w:p w14:paraId="41F3EE09" w14:textId="77777777" w:rsidR="0058570D" w:rsidRPr="0058570D" w:rsidRDefault="0058570D" w:rsidP="0058570D">
      <w:pPr>
        <w:spacing w:line="280" w:lineRule="atLeast"/>
        <w:rPr>
          <w:rFonts w:cs="Arial"/>
          <w:szCs w:val="22"/>
          <w:lang w:val="en-US"/>
        </w:rPr>
      </w:pPr>
    </w:p>
    <w:p w14:paraId="45FFB446" w14:textId="663A1119" w:rsidR="0058570D" w:rsidRPr="00AC69AE" w:rsidRDefault="0058570D" w:rsidP="0058570D">
      <w:pPr>
        <w:spacing w:line="280" w:lineRule="atLeast"/>
        <w:rPr>
          <w:rFonts w:cs="Arial"/>
          <w:b/>
          <w:bCs/>
          <w:szCs w:val="22"/>
          <w:lang w:val="en-US"/>
        </w:rPr>
      </w:pPr>
      <w:r w:rsidRPr="003013A9">
        <w:rPr>
          <w:rFonts w:cs="Arial"/>
          <w:b/>
          <w:bCs/>
          <w:szCs w:val="22"/>
          <w:lang w:val="x-none"/>
        </w:rPr>
        <w:t xml:space="preserve">Minh Nhut Ngo, CEA, </w:t>
      </w:r>
      <w:r>
        <w:rPr>
          <w:rFonts w:cs="Arial"/>
          <w:b/>
          <w:bCs/>
          <w:szCs w:val="22"/>
          <w:lang w:val="en-US"/>
        </w:rPr>
        <w:t>France</w:t>
      </w:r>
    </w:p>
    <w:p w14:paraId="7DB3B592" w14:textId="77777777" w:rsidR="0058570D" w:rsidRPr="003013A9" w:rsidRDefault="0058570D" w:rsidP="0058570D">
      <w:pPr>
        <w:spacing w:line="280" w:lineRule="atLeast"/>
        <w:rPr>
          <w:rFonts w:cs="Arial"/>
          <w:szCs w:val="22"/>
          <w:lang w:val="x-none"/>
        </w:rPr>
      </w:pPr>
      <w:r w:rsidRPr="003013A9">
        <w:rPr>
          <w:rFonts w:cs="Arial"/>
          <w:szCs w:val="22"/>
          <w:lang w:val="x-none"/>
        </w:rPr>
        <w:t>Implementation and Characterization of a 200 kW Full-SiC Isolated DC-DC Converter</w:t>
      </w:r>
      <w:r w:rsidRPr="003013A9">
        <w:rPr>
          <w:rFonts w:cs="Arial"/>
          <w:szCs w:val="22"/>
          <w:lang w:val="en-US"/>
        </w:rPr>
        <w:t xml:space="preserve"> </w:t>
      </w:r>
      <w:r w:rsidRPr="003013A9">
        <w:rPr>
          <w:rFonts w:cs="Arial"/>
          <w:szCs w:val="22"/>
          <w:lang w:val="x-none"/>
        </w:rPr>
        <w:t>for Future Medium Voltage PV Plants</w:t>
      </w:r>
    </w:p>
    <w:p w14:paraId="3EB238CF" w14:textId="5CAED0A2" w:rsidR="0058570D" w:rsidRDefault="0058570D" w:rsidP="0058570D">
      <w:pPr>
        <w:spacing w:line="280" w:lineRule="atLeast"/>
        <w:rPr>
          <w:rFonts w:cs="Arial"/>
          <w:szCs w:val="22"/>
          <w:lang w:val="x-none"/>
        </w:rPr>
      </w:pPr>
    </w:p>
    <w:p w14:paraId="2DE4BAF0" w14:textId="6784AF5D" w:rsidR="0058570D" w:rsidRDefault="0058570D" w:rsidP="0058570D">
      <w:pPr>
        <w:autoSpaceDE w:val="0"/>
        <w:autoSpaceDN w:val="0"/>
        <w:adjustRightInd w:val="0"/>
        <w:spacing w:line="320" w:lineRule="exact"/>
        <w:rPr>
          <w:rFonts w:cs="Arial"/>
          <w:b/>
          <w:bCs/>
          <w:szCs w:val="22"/>
          <w:lang w:val="en-US"/>
        </w:rPr>
      </w:pPr>
      <w:r>
        <w:rPr>
          <w:rFonts w:cs="Arial"/>
          <w:b/>
          <w:bCs/>
          <w:szCs w:val="22"/>
          <w:lang w:val="en-US"/>
        </w:rPr>
        <w:t>Abstracts of the Best Papers:</w:t>
      </w:r>
    </w:p>
    <w:p w14:paraId="684882D6" w14:textId="77777777" w:rsidR="0058570D" w:rsidRDefault="0058570D" w:rsidP="0058570D">
      <w:pPr>
        <w:autoSpaceDE w:val="0"/>
        <w:autoSpaceDN w:val="0"/>
        <w:adjustRightInd w:val="0"/>
        <w:spacing w:line="320" w:lineRule="exact"/>
        <w:rPr>
          <w:rFonts w:cs="Arial"/>
          <w:b/>
          <w:bCs/>
          <w:szCs w:val="22"/>
          <w:lang w:val="en-US"/>
        </w:rPr>
      </w:pPr>
    </w:p>
    <w:p w14:paraId="62BF8566" w14:textId="2E65D218" w:rsidR="0058570D" w:rsidRPr="003013A9" w:rsidRDefault="0058570D" w:rsidP="0058570D">
      <w:pPr>
        <w:spacing w:line="280" w:lineRule="atLeast"/>
        <w:rPr>
          <w:rFonts w:cs="Arial"/>
          <w:b/>
          <w:bCs/>
          <w:szCs w:val="22"/>
          <w:lang w:val="en-US"/>
        </w:rPr>
      </w:pPr>
      <w:r w:rsidRPr="003013A9">
        <w:rPr>
          <w:rFonts w:cs="Arial"/>
          <w:b/>
          <w:bCs/>
          <w:szCs w:val="22"/>
          <w:lang w:val="en-US"/>
        </w:rPr>
        <w:t xml:space="preserve">Ralf Schmidt, Siemens, </w:t>
      </w:r>
      <w:r>
        <w:rPr>
          <w:rFonts w:cs="Arial"/>
          <w:b/>
          <w:bCs/>
          <w:szCs w:val="22"/>
          <w:lang w:val="en-US"/>
        </w:rPr>
        <w:t>Germany</w:t>
      </w:r>
    </w:p>
    <w:p w14:paraId="686D747E" w14:textId="77777777" w:rsidR="0058570D" w:rsidRDefault="0058570D" w:rsidP="0058570D">
      <w:pPr>
        <w:spacing w:line="280" w:lineRule="atLeast"/>
        <w:rPr>
          <w:rFonts w:cs="Arial"/>
          <w:szCs w:val="22"/>
          <w:lang w:val="en-US"/>
        </w:rPr>
      </w:pPr>
      <w:r w:rsidRPr="003013A9">
        <w:rPr>
          <w:rFonts w:cs="Arial"/>
          <w:szCs w:val="22"/>
          <w:lang w:val="en-US"/>
        </w:rPr>
        <w:t>Impact of Current Density on Wire Bond Lifetime – Power Cycle Testing with Clamped VCE for Realistic Current Stress</w:t>
      </w:r>
    </w:p>
    <w:p w14:paraId="4A1AE8D4" w14:textId="77777777" w:rsidR="0058570D" w:rsidRDefault="0058570D" w:rsidP="0058570D">
      <w:pPr>
        <w:spacing w:line="280" w:lineRule="atLeast"/>
        <w:rPr>
          <w:rFonts w:cs="Arial"/>
          <w:szCs w:val="22"/>
          <w:lang w:val="en-US"/>
        </w:rPr>
      </w:pPr>
    </w:p>
    <w:p w14:paraId="0562EBCE" w14:textId="77777777" w:rsidR="0058570D" w:rsidRDefault="0058570D" w:rsidP="0058570D">
      <w:pPr>
        <w:spacing w:line="280" w:lineRule="atLeast"/>
        <w:rPr>
          <w:rFonts w:cs="Arial"/>
          <w:szCs w:val="22"/>
          <w:lang w:val="en-US"/>
        </w:rPr>
      </w:pPr>
      <w:r w:rsidRPr="003013A9">
        <w:rPr>
          <w:rFonts w:cs="Arial"/>
          <w:szCs w:val="22"/>
          <w:lang w:val="en-US"/>
        </w:rPr>
        <w:t>In power cycling tests, end-of-life failure modes of IGBT modules are provoked by repetitive DC current pulses. However, in real-life inverter operation a big portion of the power losses is due to switching events and much smaller currents are present in the module. Especially the wire bond lifetime depends on the current density and exaggerated test load currents can lead to early wire bond lift-off. This article presents experimental results on the impact of current density on wire bond lifetime and introduces a novel PC test method that allows for testing with moderate currents.</w:t>
      </w:r>
      <w:r>
        <w:rPr>
          <w:rFonts w:cs="Arial"/>
          <w:szCs w:val="22"/>
          <w:lang w:val="en-US"/>
        </w:rPr>
        <w:t xml:space="preserve"> </w:t>
      </w:r>
    </w:p>
    <w:p w14:paraId="3EFCE8B2" w14:textId="77777777" w:rsidR="0058570D" w:rsidRDefault="0058570D" w:rsidP="0058570D">
      <w:pPr>
        <w:spacing w:line="280" w:lineRule="atLeast"/>
        <w:rPr>
          <w:rFonts w:cs="Arial"/>
          <w:szCs w:val="22"/>
          <w:lang w:val="en-US"/>
        </w:rPr>
      </w:pPr>
    </w:p>
    <w:p w14:paraId="0777CA9C" w14:textId="2691D66B" w:rsidR="0058570D" w:rsidRPr="00A5239F" w:rsidRDefault="0058570D" w:rsidP="0058570D">
      <w:pPr>
        <w:spacing w:line="280" w:lineRule="atLeast"/>
        <w:rPr>
          <w:rFonts w:cs="Arial"/>
          <w:b/>
          <w:bCs/>
          <w:szCs w:val="22"/>
          <w:lang w:val="en-US"/>
        </w:rPr>
      </w:pPr>
      <w:r w:rsidRPr="00A5239F">
        <w:rPr>
          <w:rFonts w:cs="Arial"/>
          <w:b/>
          <w:bCs/>
          <w:szCs w:val="22"/>
          <w:lang w:val="x-none"/>
        </w:rPr>
        <w:t xml:space="preserve">Martin Guillet, SuperGrid Institute, </w:t>
      </w:r>
      <w:r>
        <w:rPr>
          <w:rFonts w:cs="Arial"/>
          <w:b/>
          <w:bCs/>
          <w:szCs w:val="22"/>
          <w:lang w:val="en-US"/>
        </w:rPr>
        <w:t>France</w:t>
      </w:r>
    </w:p>
    <w:p w14:paraId="19A48343" w14:textId="77777777" w:rsidR="0058570D" w:rsidRDefault="0058570D" w:rsidP="0058570D">
      <w:pPr>
        <w:spacing w:line="280" w:lineRule="atLeast"/>
        <w:rPr>
          <w:rFonts w:cs="Arial"/>
          <w:szCs w:val="22"/>
          <w:lang w:val="x-none"/>
        </w:rPr>
      </w:pPr>
      <w:r w:rsidRPr="00A5239F">
        <w:rPr>
          <w:rFonts w:cs="Arial"/>
          <w:szCs w:val="22"/>
          <w:lang w:val="x-none"/>
        </w:rPr>
        <w:t>Design and Testing of a Compact Dry Insulated Medium Frequency Transformer</w:t>
      </w:r>
      <w:r w:rsidRPr="00A5239F">
        <w:rPr>
          <w:rFonts w:cs="Arial"/>
          <w:szCs w:val="22"/>
          <w:lang w:val="en-US"/>
        </w:rPr>
        <w:t xml:space="preserve"> </w:t>
      </w:r>
      <w:r w:rsidRPr="00A5239F">
        <w:rPr>
          <w:rFonts w:cs="Arial"/>
          <w:szCs w:val="22"/>
          <w:lang w:val="x-none"/>
        </w:rPr>
        <w:t>Prototype for Medium Voltage Applications</w:t>
      </w:r>
    </w:p>
    <w:p w14:paraId="574C6AD8" w14:textId="77777777" w:rsidR="0058570D" w:rsidRDefault="0058570D" w:rsidP="0058570D">
      <w:pPr>
        <w:spacing w:line="280" w:lineRule="atLeast"/>
        <w:rPr>
          <w:rFonts w:cs="Arial"/>
          <w:szCs w:val="22"/>
          <w:lang w:val="x-none"/>
        </w:rPr>
      </w:pPr>
    </w:p>
    <w:p w14:paraId="29ABC194" w14:textId="14CFBF7E" w:rsidR="0058570D" w:rsidRDefault="0058570D" w:rsidP="0058570D">
      <w:pPr>
        <w:spacing w:line="280" w:lineRule="atLeast"/>
        <w:rPr>
          <w:rFonts w:cs="Arial"/>
          <w:szCs w:val="22"/>
          <w:lang w:val="x-none"/>
        </w:rPr>
      </w:pPr>
      <w:r w:rsidRPr="003013A9">
        <w:rPr>
          <w:rFonts w:cs="Arial"/>
          <w:szCs w:val="22"/>
          <w:lang w:val="x-none"/>
        </w:rPr>
        <w:t>Medium voltage solid state transformers with a modular structure require compact insulated medium frequency transformers with high efficiency to be an attractive solution. In this paper, the design, prototyping and test of a cast resin 12 kV class insulated medium frequency transformer with more than 99.5% efficiency and more than 5kW/L power density</w:t>
      </w:r>
      <w:r w:rsidR="00486E16" w:rsidRPr="00B7667D">
        <w:rPr>
          <w:rFonts w:cs="Arial"/>
          <w:szCs w:val="22"/>
          <w:lang w:val="en-US"/>
        </w:rPr>
        <w:t xml:space="preserve"> </w:t>
      </w:r>
      <w:r w:rsidR="00486E16">
        <w:rPr>
          <w:rFonts w:cs="Arial"/>
          <w:szCs w:val="22"/>
          <w:lang w:val="en-US"/>
        </w:rPr>
        <w:t>is described</w:t>
      </w:r>
      <w:r w:rsidRPr="003013A9">
        <w:rPr>
          <w:rFonts w:cs="Arial"/>
          <w:szCs w:val="22"/>
          <w:lang w:val="x-none"/>
        </w:rPr>
        <w:t>. Dielectric performances are demonstrated experimentally. An accurate measurement method for the losses as well as a full load test method are also presented.</w:t>
      </w:r>
    </w:p>
    <w:p w14:paraId="3D2E0DD4" w14:textId="77777777" w:rsidR="0058570D" w:rsidRDefault="0058570D" w:rsidP="0058570D">
      <w:pPr>
        <w:spacing w:line="280" w:lineRule="atLeast"/>
        <w:rPr>
          <w:rFonts w:cs="Arial"/>
          <w:szCs w:val="22"/>
          <w:lang w:val="x-none"/>
        </w:rPr>
      </w:pPr>
    </w:p>
    <w:p w14:paraId="2AD5474C" w14:textId="1A4636B1" w:rsidR="0058570D" w:rsidRPr="0058570D" w:rsidRDefault="0058570D" w:rsidP="0058570D">
      <w:pPr>
        <w:spacing w:line="280" w:lineRule="atLeast"/>
        <w:rPr>
          <w:rFonts w:cs="Arial"/>
          <w:b/>
          <w:bCs/>
          <w:szCs w:val="22"/>
          <w:lang w:val="en-US"/>
        </w:rPr>
      </w:pPr>
      <w:r w:rsidRPr="00A5239F">
        <w:rPr>
          <w:rFonts w:cs="Arial"/>
          <w:b/>
          <w:bCs/>
          <w:szCs w:val="22"/>
          <w:lang w:val="x-none"/>
        </w:rPr>
        <w:t xml:space="preserve">Hamzeh Beiranvand, Christian-Albrechts-University Kiel, </w:t>
      </w:r>
      <w:r>
        <w:rPr>
          <w:rFonts w:cs="Arial"/>
          <w:b/>
          <w:bCs/>
          <w:szCs w:val="22"/>
          <w:lang w:val="en-US"/>
        </w:rPr>
        <w:t>Germany</w:t>
      </w:r>
    </w:p>
    <w:p w14:paraId="531CFAD0" w14:textId="77777777" w:rsidR="0058570D" w:rsidRPr="00A5239F" w:rsidRDefault="0058570D" w:rsidP="0058570D">
      <w:pPr>
        <w:spacing w:line="280" w:lineRule="atLeast"/>
        <w:rPr>
          <w:rFonts w:cs="Arial"/>
          <w:szCs w:val="22"/>
          <w:lang w:val="x-none"/>
        </w:rPr>
      </w:pPr>
      <w:r w:rsidRPr="00A5239F">
        <w:rPr>
          <w:rFonts w:cs="Arial"/>
          <w:szCs w:val="22"/>
          <w:lang w:val="x-none"/>
        </w:rPr>
        <w:t>Advanced Solid-State-based Protection Scheme for High-Voltage Li-ion Battery</w:t>
      </w:r>
      <w:r w:rsidRPr="00A5239F">
        <w:rPr>
          <w:rFonts w:cs="Arial"/>
          <w:szCs w:val="22"/>
          <w:lang w:val="en-US"/>
        </w:rPr>
        <w:t xml:space="preserve"> </w:t>
      </w:r>
      <w:r w:rsidRPr="00A5239F">
        <w:rPr>
          <w:rFonts w:cs="Arial"/>
          <w:szCs w:val="22"/>
          <w:lang w:val="x-none"/>
        </w:rPr>
        <w:t>Energy Storage System</w:t>
      </w:r>
    </w:p>
    <w:p w14:paraId="19CECCFD" w14:textId="77777777" w:rsidR="0058570D" w:rsidRPr="003013A9" w:rsidRDefault="0058570D" w:rsidP="0058570D">
      <w:pPr>
        <w:spacing w:line="280" w:lineRule="atLeast"/>
        <w:rPr>
          <w:rFonts w:cs="Arial"/>
          <w:szCs w:val="22"/>
          <w:lang w:val="x-none"/>
        </w:rPr>
      </w:pPr>
    </w:p>
    <w:p w14:paraId="26E038F2" w14:textId="77777777" w:rsidR="0058570D" w:rsidRDefault="0058570D" w:rsidP="0058570D">
      <w:pPr>
        <w:spacing w:line="280" w:lineRule="atLeast"/>
        <w:rPr>
          <w:rFonts w:cs="Arial"/>
          <w:szCs w:val="22"/>
          <w:lang w:val="en-US"/>
        </w:rPr>
      </w:pPr>
      <w:r w:rsidRPr="003013A9">
        <w:rPr>
          <w:rFonts w:cs="Arial"/>
          <w:szCs w:val="22"/>
          <w:lang w:val="en-US"/>
        </w:rPr>
        <w:t>Safety issues such as external short-circuit (ESCs) increase discharge rate and hence impose impacts on Li-ion batteries by raising the temperature. To minimize these effects, high-speed protection schemes are required to eliminate ESCs.</w:t>
      </w:r>
    </w:p>
    <w:p w14:paraId="3986CDEA" w14:textId="77777777" w:rsidR="0058570D" w:rsidRPr="0058570D" w:rsidRDefault="0058570D" w:rsidP="0058570D">
      <w:pPr>
        <w:spacing w:line="280" w:lineRule="atLeast"/>
        <w:rPr>
          <w:rFonts w:cs="Arial"/>
          <w:szCs w:val="22"/>
          <w:lang w:val="en-US"/>
        </w:rPr>
      </w:pPr>
    </w:p>
    <w:p w14:paraId="7BAF8CF9" w14:textId="0A37A9DF" w:rsidR="0058570D" w:rsidRDefault="0058570D" w:rsidP="0058570D">
      <w:pPr>
        <w:autoSpaceDE w:val="0"/>
        <w:autoSpaceDN w:val="0"/>
        <w:adjustRightInd w:val="0"/>
        <w:spacing w:line="320" w:lineRule="exact"/>
        <w:rPr>
          <w:rFonts w:cs="Arial"/>
          <w:b/>
          <w:bCs/>
          <w:szCs w:val="22"/>
          <w:lang w:val="en-US"/>
        </w:rPr>
      </w:pPr>
      <w:r>
        <w:rPr>
          <w:rFonts w:cs="Arial"/>
          <w:b/>
          <w:bCs/>
          <w:szCs w:val="22"/>
          <w:lang w:val="en-US"/>
        </w:rPr>
        <w:t xml:space="preserve">Abstract of the </w:t>
      </w:r>
      <w:r w:rsidR="00E92A19">
        <w:rPr>
          <w:rFonts w:cs="Arial"/>
          <w:b/>
          <w:bCs/>
          <w:szCs w:val="22"/>
          <w:lang w:val="en-US"/>
        </w:rPr>
        <w:t>Young Engineer Award Paper</w:t>
      </w:r>
      <w:r>
        <w:rPr>
          <w:rFonts w:cs="Arial"/>
          <w:b/>
          <w:bCs/>
          <w:szCs w:val="22"/>
          <w:lang w:val="en-US"/>
        </w:rPr>
        <w:t>:</w:t>
      </w:r>
    </w:p>
    <w:p w14:paraId="147C7C4C" w14:textId="06B93080" w:rsidR="00E92A19" w:rsidRDefault="00E92A19" w:rsidP="0058570D">
      <w:pPr>
        <w:autoSpaceDE w:val="0"/>
        <w:autoSpaceDN w:val="0"/>
        <w:adjustRightInd w:val="0"/>
        <w:spacing w:line="320" w:lineRule="exact"/>
        <w:rPr>
          <w:rFonts w:cs="Arial"/>
          <w:b/>
          <w:bCs/>
          <w:szCs w:val="22"/>
          <w:lang w:val="en-US"/>
        </w:rPr>
      </w:pPr>
    </w:p>
    <w:p w14:paraId="02BE6194" w14:textId="19C6D952" w:rsidR="00E92A19" w:rsidRPr="00486E16" w:rsidRDefault="00E92A19" w:rsidP="00E92A19">
      <w:pPr>
        <w:spacing w:line="280" w:lineRule="atLeast"/>
        <w:rPr>
          <w:rFonts w:cs="Arial"/>
          <w:b/>
          <w:bCs/>
          <w:szCs w:val="22"/>
          <w:lang w:val="en-US"/>
        </w:rPr>
      </w:pPr>
      <w:r w:rsidRPr="00486E16">
        <w:rPr>
          <w:rFonts w:cs="Arial"/>
          <w:b/>
          <w:bCs/>
          <w:szCs w:val="22"/>
          <w:lang w:val="en-US"/>
        </w:rPr>
        <w:lastRenderedPageBreak/>
        <w:t>Leonhard Hertenstein, Mercedes Benz, Germany</w:t>
      </w:r>
    </w:p>
    <w:p w14:paraId="5CB22F53" w14:textId="77777777" w:rsidR="00E92A19" w:rsidRPr="00A5239F" w:rsidRDefault="00E92A19" w:rsidP="00E92A19">
      <w:pPr>
        <w:spacing w:line="280" w:lineRule="atLeast"/>
        <w:rPr>
          <w:rFonts w:cs="Arial"/>
          <w:szCs w:val="22"/>
          <w:lang w:val="en-US"/>
        </w:rPr>
      </w:pPr>
      <w:r w:rsidRPr="00A5239F">
        <w:rPr>
          <w:rFonts w:cs="Arial"/>
          <w:szCs w:val="22"/>
          <w:lang w:val="en-US"/>
        </w:rPr>
        <w:t>Machine-Learning Approach to Model Junction Temperatures in</w:t>
      </w:r>
      <w:r>
        <w:rPr>
          <w:rFonts w:cs="Arial"/>
          <w:szCs w:val="22"/>
          <w:lang w:val="en-US"/>
        </w:rPr>
        <w:t xml:space="preserve"> </w:t>
      </w:r>
      <w:r w:rsidRPr="00A5239F">
        <w:rPr>
          <w:rFonts w:cs="Arial"/>
          <w:szCs w:val="22"/>
          <w:lang w:val="en-US"/>
        </w:rPr>
        <w:t>Automotive Inverter</w:t>
      </w:r>
      <w:r>
        <w:rPr>
          <w:rFonts w:cs="Arial"/>
          <w:szCs w:val="22"/>
          <w:lang w:val="en-US"/>
        </w:rPr>
        <w:t>s</w:t>
      </w:r>
    </w:p>
    <w:p w14:paraId="3ACE64B6" w14:textId="77777777" w:rsidR="00E92A19" w:rsidRPr="00AC69AE" w:rsidRDefault="00E92A19" w:rsidP="00E92A19">
      <w:pPr>
        <w:spacing w:line="280" w:lineRule="atLeast"/>
        <w:rPr>
          <w:rFonts w:cs="Arial"/>
          <w:szCs w:val="22"/>
          <w:lang w:val="en-US"/>
        </w:rPr>
      </w:pPr>
    </w:p>
    <w:p w14:paraId="1AFA77A1" w14:textId="77777777" w:rsidR="00E92A19" w:rsidRDefault="00E92A19" w:rsidP="00E92A19">
      <w:pPr>
        <w:spacing w:line="280" w:lineRule="atLeast"/>
        <w:rPr>
          <w:rFonts w:cs="Arial"/>
          <w:szCs w:val="22"/>
          <w:lang w:val="en-US"/>
        </w:rPr>
      </w:pPr>
      <w:r w:rsidRPr="001518D7">
        <w:rPr>
          <w:rFonts w:cs="Arial"/>
          <w:szCs w:val="22"/>
          <w:lang w:val="en-US"/>
        </w:rPr>
        <w:t>Increasing power density of automotive inverters lead to an increasing demand for accurate lifetime and reliability models. As such models are closely dependent on junction temperatures, they benefit from accurate temperature estimation methods. In this contribution, a machine-learning approach to model semiconductor junction temperatures is presented. The model was trained and evaluated with data from a test bench incorporating a 1200 V SiC power module. The data pipeline, model performance, benefits and limitations are shown and discussed.</w:t>
      </w:r>
    </w:p>
    <w:p w14:paraId="09865D85" w14:textId="77777777" w:rsidR="00E92A19" w:rsidRDefault="00E92A19" w:rsidP="0058570D">
      <w:pPr>
        <w:autoSpaceDE w:val="0"/>
        <w:autoSpaceDN w:val="0"/>
        <w:adjustRightInd w:val="0"/>
        <w:spacing w:line="320" w:lineRule="exact"/>
        <w:rPr>
          <w:rFonts w:cs="Arial"/>
          <w:b/>
          <w:bCs/>
          <w:szCs w:val="22"/>
          <w:lang w:val="en-US"/>
        </w:rPr>
      </w:pPr>
    </w:p>
    <w:p w14:paraId="1B7007FB" w14:textId="5C501625" w:rsidR="00E92A19" w:rsidRDefault="00E92A19" w:rsidP="00E92A19">
      <w:pPr>
        <w:autoSpaceDE w:val="0"/>
        <w:autoSpaceDN w:val="0"/>
        <w:adjustRightInd w:val="0"/>
        <w:spacing w:line="320" w:lineRule="exact"/>
        <w:rPr>
          <w:rFonts w:cs="Arial"/>
          <w:b/>
          <w:bCs/>
          <w:szCs w:val="22"/>
          <w:lang w:val="en-US"/>
        </w:rPr>
      </w:pPr>
      <w:r>
        <w:rPr>
          <w:rFonts w:cs="Arial"/>
          <w:b/>
          <w:bCs/>
          <w:szCs w:val="22"/>
          <w:lang w:val="en-US"/>
        </w:rPr>
        <w:t>Abstract of the Young Researcher Award Paper:</w:t>
      </w:r>
    </w:p>
    <w:p w14:paraId="076E6276" w14:textId="30C3F440" w:rsidR="00E92A19" w:rsidRDefault="00E92A19" w:rsidP="00E92A19">
      <w:pPr>
        <w:autoSpaceDE w:val="0"/>
        <w:autoSpaceDN w:val="0"/>
        <w:adjustRightInd w:val="0"/>
        <w:spacing w:line="320" w:lineRule="exact"/>
        <w:rPr>
          <w:rFonts w:cs="Arial"/>
          <w:b/>
          <w:bCs/>
          <w:szCs w:val="22"/>
          <w:lang w:val="en-US"/>
        </w:rPr>
      </w:pPr>
    </w:p>
    <w:p w14:paraId="78F51C4E" w14:textId="77777777" w:rsidR="00E92A19" w:rsidRPr="001518D7" w:rsidRDefault="00E92A19" w:rsidP="00E92A19">
      <w:pPr>
        <w:spacing w:line="280" w:lineRule="atLeast"/>
        <w:rPr>
          <w:rFonts w:cs="Arial"/>
          <w:b/>
          <w:bCs/>
          <w:szCs w:val="22"/>
          <w:lang w:val="en-US"/>
        </w:rPr>
      </w:pPr>
      <w:r w:rsidRPr="003013A9">
        <w:rPr>
          <w:rFonts w:cs="Arial"/>
          <w:b/>
          <w:bCs/>
          <w:szCs w:val="22"/>
          <w:lang w:val="x-none"/>
        </w:rPr>
        <w:t xml:space="preserve">Minh Nhut Ngo, CEA, </w:t>
      </w:r>
      <w:r w:rsidRPr="001518D7">
        <w:rPr>
          <w:rFonts w:cs="Arial"/>
          <w:b/>
          <w:bCs/>
          <w:szCs w:val="22"/>
          <w:lang w:val="en-US"/>
        </w:rPr>
        <w:t>Frankreich</w:t>
      </w:r>
    </w:p>
    <w:p w14:paraId="6E4BD4AB" w14:textId="77777777" w:rsidR="00E92A19" w:rsidRDefault="00E92A19" w:rsidP="00E92A19">
      <w:pPr>
        <w:spacing w:line="280" w:lineRule="atLeast"/>
        <w:rPr>
          <w:rFonts w:cs="Arial"/>
          <w:szCs w:val="22"/>
          <w:lang w:val="x-none"/>
        </w:rPr>
      </w:pPr>
      <w:r w:rsidRPr="003013A9">
        <w:rPr>
          <w:rFonts w:cs="Arial"/>
          <w:szCs w:val="22"/>
          <w:lang w:val="x-none"/>
        </w:rPr>
        <w:t>Implementation and Characterization of a 200 kW Full-SiC Isolated DC-DC Converter</w:t>
      </w:r>
      <w:r w:rsidRPr="003013A9">
        <w:rPr>
          <w:rFonts w:cs="Arial"/>
          <w:szCs w:val="22"/>
          <w:lang w:val="en-US"/>
        </w:rPr>
        <w:t xml:space="preserve"> </w:t>
      </w:r>
      <w:r w:rsidRPr="003013A9">
        <w:rPr>
          <w:rFonts w:cs="Arial"/>
          <w:szCs w:val="22"/>
          <w:lang w:val="x-none"/>
        </w:rPr>
        <w:t>for Future Medium Voltage PV Plants</w:t>
      </w:r>
    </w:p>
    <w:p w14:paraId="6E2A9988" w14:textId="77777777" w:rsidR="00E92A19" w:rsidRPr="003013A9" w:rsidRDefault="00E92A19" w:rsidP="00E92A19">
      <w:pPr>
        <w:spacing w:line="280" w:lineRule="atLeast"/>
        <w:rPr>
          <w:rFonts w:cs="Arial"/>
          <w:szCs w:val="22"/>
          <w:lang w:val="x-none"/>
        </w:rPr>
      </w:pPr>
    </w:p>
    <w:p w14:paraId="687E1B9B" w14:textId="6C3E504A" w:rsidR="00E92A19" w:rsidRPr="00E92A19" w:rsidRDefault="00E92A19" w:rsidP="00E92A19">
      <w:pPr>
        <w:spacing w:line="280" w:lineRule="atLeast"/>
        <w:rPr>
          <w:rFonts w:cs="Arial"/>
          <w:szCs w:val="22"/>
          <w:lang w:val="x-none"/>
        </w:rPr>
      </w:pPr>
      <w:r w:rsidRPr="001518D7">
        <w:rPr>
          <w:rFonts w:cs="Arial"/>
          <w:szCs w:val="22"/>
          <w:lang w:val="x-none"/>
        </w:rPr>
        <w:t>Nowadays, taking into account the new projects of photovoltaic (PV) power plants, novel architectures with an intermediate medium-voltage DC (MVDC) collector are under consideration. Thus, high-power isolated DC-DC converters are key components to accelerate the deployment of these architectures. The author presents the implementation and characterization of  a prototype which is a 200-kW two-stage isolated DC-DC converter based on Medium Voltage SiC Power Modules.</w:t>
      </w:r>
    </w:p>
    <w:p w14:paraId="2F20CEB3" w14:textId="77777777" w:rsidR="0058570D" w:rsidRPr="0058570D" w:rsidRDefault="0058570D" w:rsidP="0058570D">
      <w:pPr>
        <w:spacing w:line="280" w:lineRule="atLeast"/>
        <w:rPr>
          <w:rFonts w:cs="Arial"/>
          <w:szCs w:val="22"/>
          <w:lang w:val="en-US"/>
        </w:rPr>
      </w:pPr>
    </w:p>
    <w:p w14:paraId="2301C64D" w14:textId="77777777" w:rsidR="00E92D87" w:rsidRPr="00486E16" w:rsidRDefault="00E92D87" w:rsidP="00E92D87">
      <w:pPr>
        <w:spacing w:line="320" w:lineRule="atLeast"/>
        <w:rPr>
          <w:rFonts w:cs="Arial"/>
          <w:b/>
          <w:sz w:val="17"/>
          <w:szCs w:val="17"/>
          <w:lang w:val="en-US"/>
        </w:rPr>
      </w:pPr>
      <w:r w:rsidRPr="00486E16">
        <w:rPr>
          <w:rFonts w:cs="Arial"/>
          <w:b/>
          <w:sz w:val="17"/>
          <w:szCs w:val="17"/>
          <w:lang w:val="en-US"/>
        </w:rPr>
        <w:t>About Mesago Messe Frankfurt</w:t>
      </w:r>
    </w:p>
    <w:p w14:paraId="16214A8C" w14:textId="51025D0B"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1E7EBE">
        <w:rPr>
          <w:rFonts w:cs="Arial"/>
          <w:sz w:val="17"/>
          <w:szCs w:val="17"/>
          <w:lang w:val="en-GB"/>
        </w:rPr>
        <w:t>organizers</w:t>
      </w:r>
      <w:proofErr w:type="gramEnd"/>
      <w:r w:rsidRPr="001E7EBE">
        <w:rPr>
          <w:rFonts w:cs="Arial"/>
          <w:sz w:val="17"/>
          <w:szCs w:val="17"/>
          <w:lang w:val="en-GB"/>
        </w:rPr>
        <w:t xml:space="preserve"> and partners.</w:t>
      </w:r>
      <w:r>
        <w:rPr>
          <w:rFonts w:cs="Arial"/>
          <w:sz w:val="17"/>
          <w:szCs w:val="17"/>
          <w:lang w:val="en-GB"/>
        </w:rPr>
        <w:t xml:space="preserve"> </w:t>
      </w:r>
      <w:r w:rsidR="00A27CFE" w:rsidRPr="001E7EBE">
        <w:rPr>
          <w:rFonts w:cs="Arial"/>
          <w:sz w:val="17"/>
          <w:szCs w:val="17"/>
          <w:lang w:val="en-US"/>
        </w:rPr>
        <w:t>(</w:t>
      </w:r>
      <w:hyperlink r:id="rId8" w:history="1">
        <w:r w:rsidR="00A27CFE" w:rsidRPr="001E7EBE">
          <w:rPr>
            <w:rFonts w:cs="Arial"/>
            <w:sz w:val="17"/>
            <w:szCs w:val="17"/>
            <w:lang w:val="en-GB"/>
          </w:rPr>
          <w:t>mesago.com</w:t>
        </w:r>
      </w:hyperlink>
      <w:r w:rsidR="00A27CFE" w:rsidRPr="001E7EBE">
        <w:rPr>
          <w:rFonts w:cs="Arial"/>
          <w:sz w:val="17"/>
          <w:szCs w:val="17"/>
          <w:lang w:val="en-US"/>
        </w:rPr>
        <w:t>)</w:t>
      </w:r>
    </w:p>
    <w:bookmarkEnd w:id="5"/>
    <w:p w14:paraId="163596C8" w14:textId="77777777" w:rsidR="00E92D87" w:rsidRDefault="00E92D87" w:rsidP="00E92D87">
      <w:pPr>
        <w:spacing w:line="280" w:lineRule="atLeast"/>
        <w:rPr>
          <w:sz w:val="17"/>
          <w:szCs w:val="17"/>
          <w:lang w:val="en-US"/>
        </w:rPr>
      </w:pPr>
    </w:p>
    <w:p w14:paraId="52E99D4A" w14:textId="77777777" w:rsidR="00F41ADF" w:rsidRDefault="00F41ADF" w:rsidP="00F41ADF">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67440808" w14:textId="77777777" w:rsidR="00F41ADF" w:rsidRPr="00782C91" w:rsidRDefault="00F41ADF" w:rsidP="00F41ADF">
      <w:pPr>
        <w:rPr>
          <w:rStyle w:val="Hyperlink"/>
          <w:rFonts w:ascii="Calibri" w:hAnsi="Calibri" w:cs="Calibri"/>
          <w:lang w:val="en-US"/>
        </w:rPr>
      </w:pPr>
      <w:r>
        <w:rPr>
          <w:color w:val="000000"/>
          <w:sz w:val="17"/>
          <w:szCs w:val="17"/>
          <w:lang w:val="en-GB"/>
        </w:rPr>
        <w:t xml:space="preserve">The Messe Frankfurt Group is one of the world’s leading trade fair, </w:t>
      </w:r>
      <w:proofErr w:type="gramStart"/>
      <w:r>
        <w:rPr>
          <w:color w:val="000000"/>
          <w:sz w:val="17"/>
          <w:szCs w:val="17"/>
          <w:lang w:val="en-GB"/>
        </w:rPr>
        <w:t>congress</w:t>
      </w:r>
      <w:proofErr w:type="gramEnd"/>
      <w:r>
        <w:rPr>
          <w:color w:val="000000"/>
          <w:sz w:val="17"/>
          <w:szCs w:val="17"/>
          <w:lang w:val="en-GB"/>
        </w:rPr>
        <w:t xml:space="preserve">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gramStart"/>
      <w:r>
        <w:rPr>
          <w:color w:val="000000"/>
          <w:sz w:val="17"/>
          <w:szCs w:val="17"/>
          <w:lang w:val="en-GB"/>
        </w:rPr>
        <w:t>organising</w:t>
      </w:r>
      <w:proofErr w:type="gramEnd"/>
      <w:r>
        <w:rPr>
          <w:color w:val="000000"/>
          <w:sz w:val="17"/>
          <w:szCs w:val="17"/>
          <w:lang w:val="en-GB"/>
        </w:rPr>
        <w:t xml:space="preserve"> and running their events. We are using our digital expertise to develop new business models. The wide range of services includes renting exhibition grounds, trade fair construction and marketing, </w:t>
      </w:r>
      <w:proofErr w:type="gramStart"/>
      <w:r>
        <w:rPr>
          <w:color w:val="000000"/>
          <w:sz w:val="17"/>
          <w:szCs w:val="17"/>
          <w:lang w:val="en-GB"/>
        </w:rPr>
        <w:t>personnel</w:t>
      </w:r>
      <w:proofErr w:type="gramEnd"/>
      <w:r>
        <w:rPr>
          <w:color w:val="000000"/>
          <w:sz w:val="17"/>
          <w:szCs w:val="17"/>
          <w:lang w:val="en-GB"/>
        </w:rPr>
        <w:t xml:space="preserve"> and food services. </w:t>
      </w:r>
      <w:r>
        <w:rPr>
          <w:color w:val="000000"/>
          <w:sz w:val="17"/>
          <w:szCs w:val="17"/>
          <w:lang w:val="en-GB"/>
        </w:rPr>
        <w:br/>
        <w:t xml:space="preserve">Sustainability is a central pillar of our corporate strategy. Here, we strike a healthy balance between ecological and economic interests, social </w:t>
      </w:r>
      <w:proofErr w:type="gramStart"/>
      <w:r>
        <w:rPr>
          <w:color w:val="000000"/>
          <w:sz w:val="17"/>
          <w:szCs w:val="17"/>
          <w:lang w:val="en-GB"/>
        </w:rPr>
        <w:t>responsibility</w:t>
      </w:r>
      <w:proofErr w:type="gramEnd"/>
      <w:r>
        <w:rPr>
          <w:color w:val="000000"/>
          <w:sz w:val="17"/>
          <w:szCs w:val="17"/>
          <w:lang w:val="en-GB"/>
        </w:rPr>
        <w:t xml:space="preserve"> and diversity.</w:t>
      </w:r>
    </w:p>
    <w:p w14:paraId="37F5072E" w14:textId="77777777" w:rsidR="00F41ADF" w:rsidRDefault="00F41ADF" w:rsidP="00F41ADF">
      <w:pPr>
        <w:rPr>
          <w:rStyle w:val="Hyperlink"/>
          <w:sz w:val="17"/>
          <w:szCs w:val="17"/>
          <w:lang w:val="en-GB"/>
        </w:rPr>
      </w:pPr>
      <w:r>
        <w:rPr>
          <w:sz w:val="17"/>
          <w:szCs w:val="17"/>
          <w:lang w:val="en-GB"/>
        </w:rPr>
        <w:t xml:space="preserve">For more information, please visit our website at: </w:t>
      </w:r>
      <w:hyperlink r:id="rId9" w:history="1">
        <w:r>
          <w:rPr>
            <w:rStyle w:val="Hyperlink"/>
            <w:sz w:val="17"/>
            <w:szCs w:val="17"/>
            <w:lang w:val="en-GB"/>
          </w:rPr>
          <w:t>www.messefrankfurt.com/sustainability</w:t>
        </w:r>
      </w:hyperlink>
    </w:p>
    <w:p w14:paraId="4E21353E" w14:textId="77777777" w:rsidR="00F41ADF" w:rsidRPr="00782C91" w:rsidRDefault="00F41ADF" w:rsidP="00F41ADF">
      <w:pPr>
        <w:rPr>
          <w:color w:val="000000"/>
          <w:lang w:val="en-US"/>
        </w:rPr>
      </w:pPr>
      <w:r>
        <w:rPr>
          <w:color w:val="000000"/>
          <w:sz w:val="17"/>
          <w:szCs w:val="17"/>
          <w:lang w:val="en-GB"/>
        </w:rPr>
        <w:lastRenderedPageBreak/>
        <w:t xml:space="preserve">With its headquarters in Frankfurt am Main, the company is owned by the City of Frankfurt (60 percent) and the State of Hesse (40 percent). </w:t>
      </w:r>
    </w:p>
    <w:p w14:paraId="6B047AF1" w14:textId="73F058D6" w:rsidR="00F41ADF" w:rsidRDefault="00F41ADF" w:rsidP="00F41ADF">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0" w:history="1">
        <w:r w:rsidR="00A27CFE">
          <w:rPr>
            <w:rStyle w:val="Hyperlink"/>
            <w:sz w:val="17"/>
            <w:szCs w:val="17"/>
            <w:lang w:val="en-GB"/>
          </w:rPr>
          <w:t>www.messefrankfurt.com</w:t>
        </w:r>
      </w:hyperlink>
    </w:p>
    <w:p w14:paraId="25ED4D37" w14:textId="77777777" w:rsidR="00F41ADF" w:rsidRDefault="00F41ADF" w:rsidP="00F41ADF">
      <w:pPr>
        <w:rPr>
          <w:rStyle w:val="Hyperlink"/>
          <w:color w:val="000000"/>
        </w:rPr>
      </w:pPr>
      <w:r>
        <w:rPr>
          <w:rStyle w:val="Hyperlink"/>
          <w:color w:val="000000"/>
          <w:sz w:val="17"/>
          <w:szCs w:val="17"/>
          <w:lang w:val="en-GB"/>
        </w:rPr>
        <w:t>* Preliminary figures for 2022</w:t>
      </w:r>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37001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370018">
                      <w:rPr>
                        <w:noProof/>
                      </w:rPr>
                      <w:t>2</w:t>
                    </w:r>
                    <w:r>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782C91" w:rsidRDefault="001D0F71" w:rsidP="007C3D0A">
                          <w:pPr>
                            <w:spacing w:line="200" w:lineRule="exact"/>
                            <w:rPr>
                              <w:rFonts w:cs="Arial"/>
                              <w:color w:val="000000" w:themeColor="text1"/>
                              <w:sz w:val="15"/>
                              <w:szCs w:val="15"/>
                              <w:lang w:val="en-US"/>
                            </w:rPr>
                          </w:pPr>
                          <w:r w:rsidRPr="00782C91">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782C91" w:rsidRDefault="001D0F71" w:rsidP="007C3D0A">
                    <w:pPr>
                      <w:spacing w:line="200" w:lineRule="exact"/>
                      <w:rPr>
                        <w:rFonts w:cs="Arial"/>
                        <w:color w:val="000000" w:themeColor="text1"/>
                        <w:sz w:val="15"/>
                        <w:szCs w:val="15"/>
                        <w:lang w:val="en-US"/>
                      </w:rPr>
                    </w:pPr>
                    <w:r w:rsidRPr="00782C91">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lang w:eastAsia="zh-CN"/>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lang w:eastAsia="zh-CN"/>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lang w:eastAsia="zh-CN"/>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margin">
                  <wp14:pctWidth>0</wp14:pctWidth>
                </wp14:sizeRelH>
                <wp14:sizeRelV relativeFrom="margin">
                  <wp14:pctHeight>0</wp14:pctHeight>
                </wp14:sizeRelV>
              </wp:anchor>
            </w:drawing>
          </w:r>
          <w:r w:rsidR="00BD2040">
            <w:rPr>
              <w:noProof/>
              <w:lang w:eastAsia="zh-CN"/>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98"/>
    <w:rsid w:val="00081EB8"/>
    <w:rsid w:val="000A3037"/>
    <w:rsid w:val="000C5FBB"/>
    <w:rsid w:val="000D0618"/>
    <w:rsid w:val="001328EA"/>
    <w:rsid w:val="00161EB8"/>
    <w:rsid w:val="001676C7"/>
    <w:rsid w:val="001A6029"/>
    <w:rsid w:val="001D0F71"/>
    <w:rsid w:val="002B4A8E"/>
    <w:rsid w:val="002C7284"/>
    <w:rsid w:val="002E3A34"/>
    <w:rsid w:val="003508E3"/>
    <w:rsid w:val="00370018"/>
    <w:rsid w:val="003A1ADA"/>
    <w:rsid w:val="003C611D"/>
    <w:rsid w:val="003D0AF8"/>
    <w:rsid w:val="003D752C"/>
    <w:rsid w:val="00421195"/>
    <w:rsid w:val="00454741"/>
    <w:rsid w:val="00466E77"/>
    <w:rsid w:val="00470977"/>
    <w:rsid w:val="004755AE"/>
    <w:rsid w:val="00486E16"/>
    <w:rsid w:val="00533CC4"/>
    <w:rsid w:val="0058570D"/>
    <w:rsid w:val="0059533A"/>
    <w:rsid w:val="0060446C"/>
    <w:rsid w:val="00626C74"/>
    <w:rsid w:val="00627449"/>
    <w:rsid w:val="00691EB1"/>
    <w:rsid w:val="006A1729"/>
    <w:rsid w:val="006B1029"/>
    <w:rsid w:val="006C2B69"/>
    <w:rsid w:val="006E471B"/>
    <w:rsid w:val="006E511D"/>
    <w:rsid w:val="00700AC2"/>
    <w:rsid w:val="00701282"/>
    <w:rsid w:val="007057B0"/>
    <w:rsid w:val="007061D5"/>
    <w:rsid w:val="00741012"/>
    <w:rsid w:val="00746E53"/>
    <w:rsid w:val="00782C91"/>
    <w:rsid w:val="007C3D0A"/>
    <w:rsid w:val="00811C84"/>
    <w:rsid w:val="008738D7"/>
    <w:rsid w:val="008902AF"/>
    <w:rsid w:val="008A214C"/>
    <w:rsid w:val="008C72A7"/>
    <w:rsid w:val="008E0EEC"/>
    <w:rsid w:val="008E3779"/>
    <w:rsid w:val="00905620"/>
    <w:rsid w:val="00925C50"/>
    <w:rsid w:val="00957B35"/>
    <w:rsid w:val="009655CA"/>
    <w:rsid w:val="00966898"/>
    <w:rsid w:val="00993BE7"/>
    <w:rsid w:val="009A59CF"/>
    <w:rsid w:val="009C32E9"/>
    <w:rsid w:val="00A25CB0"/>
    <w:rsid w:val="00A27B2D"/>
    <w:rsid w:val="00A27CFE"/>
    <w:rsid w:val="00A44098"/>
    <w:rsid w:val="00A92863"/>
    <w:rsid w:val="00A9539C"/>
    <w:rsid w:val="00B04C44"/>
    <w:rsid w:val="00B244D3"/>
    <w:rsid w:val="00B4487B"/>
    <w:rsid w:val="00B7667D"/>
    <w:rsid w:val="00B82C6F"/>
    <w:rsid w:val="00BD2040"/>
    <w:rsid w:val="00BE07A1"/>
    <w:rsid w:val="00C27160"/>
    <w:rsid w:val="00C761E9"/>
    <w:rsid w:val="00C841CC"/>
    <w:rsid w:val="00C91655"/>
    <w:rsid w:val="00CD46DE"/>
    <w:rsid w:val="00CE2D28"/>
    <w:rsid w:val="00D66C38"/>
    <w:rsid w:val="00D70FA8"/>
    <w:rsid w:val="00D925D3"/>
    <w:rsid w:val="00DA6442"/>
    <w:rsid w:val="00DD4C6E"/>
    <w:rsid w:val="00DF47A4"/>
    <w:rsid w:val="00E308C9"/>
    <w:rsid w:val="00E80F9E"/>
    <w:rsid w:val="00E92A19"/>
    <w:rsid w:val="00E92D87"/>
    <w:rsid w:val="00EC75C8"/>
    <w:rsid w:val="00ED1F74"/>
    <w:rsid w:val="00F21328"/>
    <w:rsid w:val="00F24CD2"/>
    <w:rsid w:val="00F41ADF"/>
    <w:rsid w:val="00F56456"/>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421195"/>
    <w:rPr>
      <w:sz w:val="16"/>
      <w:szCs w:val="16"/>
    </w:rPr>
  </w:style>
  <w:style w:type="paragraph" w:styleId="Kommentartext">
    <w:name w:val="annotation text"/>
    <w:basedOn w:val="Standard"/>
    <w:link w:val="KommentartextZchn"/>
    <w:semiHidden/>
    <w:unhideWhenUsed/>
    <w:rsid w:val="00421195"/>
    <w:pPr>
      <w:spacing w:line="240" w:lineRule="auto"/>
    </w:pPr>
    <w:rPr>
      <w:sz w:val="20"/>
    </w:rPr>
  </w:style>
  <w:style w:type="character" w:customStyle="1" w:styleId="KommentartextZchn">
    <w:name w:val="Kommentartext Zchn"/>
    <w:basedOn w:val="Absatz-Standardschriftart"/>
    <w:link w:val="Kommentartext"/>
    <w:semiHidden/>
    <w:rsid w:val="00421195"/>
    <w:rPr>
      <w:rFonts w:ascii="Arial" w:hAnsi="Arial"/>
    </w:rPr>
  </w:style>
  <w:style w:type="paragraph" w:styleId="Kommentarthema">
    <w:name w:val="annotation subject"/>
    <w:basedOn w:val="Kommentartext"/>
    <w:next w:val="Kommentartext"/>
    <w:link w:val="KommentarthemaZchn"/>
    <w:semiHidden/>
    <w:unhideWhenUsed/>
    <w:rsid w:val="00421195"/>
    <w:rPr>
      <w:b/>
      <w:bCs/>
    </w:rPr>
  </w:style>
  <w:style w:type="character" w:customStyle="1" w:styleId="KommentarthemaZchn">
    <w:name w:val="Kommentarthema Zchn"/>
    <w:basedOn w:val="KommentartextZchn"/>
    <w:link w:val="Kommentarthema"/>
    <w:semiHidden/>
    <w:rsid w:val="00421195"/>
    <w:rPr>
      <w:rFonts w:ascii="Arial" w:hAnsi="Arial"/>
      <w:b/>
      <w:bCs/>
    </w:rPr>
  </w:style>
  <w:style w:type="paragraph" w:styleId="berarbeitung">
    <w:name w:val="Revision"/>
    <w:hidden/>
    <w:uiPriority w:val="99"/>
    <w:semiHidden/>
    <w:rsid w:val="00B7667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603809802">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ssefrankfurt.com/frankfurt/en.html" TargetMode="External"/><Relationship Id="rId4" Type="http://schemas.openxmlformats.org/officeDocument/2006/relationships/webSettings" Target="webSettings.xml"/><Relationship Id="rId9" Type="http://schemas.openxmlformats.org/officeDocument/2006/relationships/hyperlink" Target="https://www.messefrankfurt.com/frankfurt/en/company/sustainabilit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ADBD-4870-44EB-B72C-1A5CB82F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1108</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8078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Hausser, Lisette</cp:lastModifiedBy>
  <cp:revision>8</cp:revision>
  <cp:lastPrinted>2014-08-08T15:06:00Z</cp:lastPrinted>
  <dcterms:created xsi:type="dcterms:W3CDTF">2023-05-02T06:52:00Z</dcterms:created>
  <dcterms:modified xsi:type="dcterms:W3CDTF">2023-05-02T15:21:00Z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