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2DC44F97" w:rsidR="00416C70" w:rsidRPr="00F02247" w:rsidRDefault="00830645" w:rsidP="00012BD5">
      <w:pPr>
        <w:pStyle w:val="berschrift2"/>
        <w:rPr>
          <w:lang w:val="de-DE"/>
        </w:rPr>
      </w:pPr>
      <w:bookmarkStart w:id="1" w:name="kthema4"/>
      <w:bookmarkEnd w:id="0"/>
      <w:bookmarkEnd w:id="1"/>
      <w:r w:rsidRPr="00F02247">
        <w:rPr>
          <w:lang w:val="de-DE"/>
        </w:rPr>
        <w:t xml:space="preserve">PCIM Expo &amp; Conference 2025: </w:t>
      </w:r>
      <w:r w:rsidR="00DE4FD7">
        <w:rPr>
          <w:lang w:val="de-DE"/>
        </w:rPr>
        <w:t xml:space="preserve">Zusätzliche Hallen für steigenden Bedarf </w:t>
      </w:r>
    </w:p>
    <w:p w14:paraId="1167C49A" w14:textId="0A598ECE" w:rsidR="004F0F9D" w:rsidRDefault="006026D6" w:rsidP="00F46A8F">
      <w:pPr>
        <w:pStyle w:val="Continuoustext"/>
      </w:pPr>
      <w:r w:rsidRPr="00F02247">
        <w:rPr>
          <w:b/>
          <w:bCs/>
        </w:rPr>
        <w:t xml:space="preserve">Stuttgart, </w:t>
      </w:r>
      <w:r w:rsidR="00830645" w:rsidRPr="00F02247">
        <w:rPr>
          <w:b/>
          <w:bCs/>
        </w:rPr>
        <w:t>18</w:t>
      </w:r>
      <w:r w:rsidRPr="00F02247">
        <w:rPr>
          <w:b/>
          <w:bCs/>
        </w:rPr>
        <w:t>.0</w:t>
      </w:r>
      <w:r w:rsidR="00830645" w:rsidRPr="00F02247">
        <w:rPr>
          <w:b/>
          <w:bCs/>
        </w:rPr>
        <w:t>2</w:t>
      </w:r>
      <w:r w:rsidRPr="00F02247">
        <w:rPr>
          <w:b/>
          <w:bCs/>
        </w:rPr>
        <w:t>.202</w:t>
      </w:r>
      <w:r w:rsidR="00830645" w:rsidRPr="00F02247">
        <w:rPr>
          <w:b/>
          <w:bCs/>
        </w:rPr>
        <w:t>5</w:t>
      </w:r>
      <w:r w:rsidR="00012BD5" w:rsidRPr="00F02247">
        <w:rPr>
          <w:b/>
          <w:bCs/>
        </w:rPr>
        <w:t xml:space="preserve">. </w:t>
      </w:r>
      <w:r w:rsidR="00065AB1" w:rsidRPr="00065AB1">
        <w:rPr>
          <w:b/>
          <w:bCs/>
        </w:rPr>
        <w:t xml:space="preserve">Die PCIM </w:t>
      </w:r>
      <w:r w:rsidR="00065AB1">
        <w:rPr>
          <w:b/>
          <w:bCs/>
        </w:rPr>
        <w:t>Expo &amp; Conference</w:t>
      </w:r>
      <w:r w:rsidR="00065AB1" w:rsidRPr="00065AB1">
        <w:rPr>
          <w:b/>
          <w:bCs/>
        </w:rPr>
        <w:t>, die international führende Fachmesse und Konferenz für Leistungselektronik, wird vom 06. – 08.05.2025 erneut zum zentralen Treffpunkt der Branche. Mit über 600 Ausstellern und mehr als 450 Vorträgen bietet die Veranstaltung ein umfassendes Programm für Fachbesuc</w:t>
      </w:r>
      <w:r w:rsidR="00065AB1">
        <w:rPr>
          <w:b/>
          <w:bCs/>
        </w:rPr>
        <w:t>hende</w:t>
      </w:r>
      <w:r w:rsidR="00065AB1" w:rsidRPr="00065AB1">
        <w:rPr>
          <w:b/>
          <w:bCs/>
        </w:rPr>
        <w:t>.</w:t>
      </w:r>
    </w:p>
    <w:p w14:paraId="4DB1F09C" w14:textId="2F60149C" w:rsidR="00700DD9" w:rsidRPr="00FA3BD0" w:rsidRDefault="00700DD9" w:rsidP="00700DD9">
      <w:pPr>
        <w:pStyle w:val="Continuoustext"/>
        <w:rPr>
          <w:color w:val="auto"/>
        </w:rPr>
      </w:pPr>
      <w:r w:rsidRPr="00067E2F">
        <w:t>Die international führende Fachmesse für Leistungselektronik, Intelligente Antriebstechnik, Erneuerbare Energie und Energiemanagement verzeichnet</w:t>
      </w:r>
      <w:r w:rsidRPr="00073479">
        <w:t xml:space="preserve"> rund </w:t>
      </w:r>
      <w:r>
        <w:t>drei</w:t>
      </w:r>
      <w:r w:rsidRPr="00073479">
        <w:t xml:space="preserve"> Monate vor </w:t>
      </w:r>
      <w:r>
        <w:t>Beginn</w:t>
      </w:r>
      <w:r w:rsidRPr="00073479">
        <w:t xml:space="preserve"> </w:t>
      </w:r>
      <w:r w:rsidR="008F7DA5" w:rsidRPr="008F7DA5">
        <w:rPr>
          <w:color w:val="auto"/>
        </w:rPr>
        <w:t xml:space="preserve">606 </w:t>
      </w:r>
      <w:r w:rsidRPr="008F7DA5">
        <w:rPr>
          <w:color w:val="auto"/>
        </w:rPr>
        <w:t xml:space="preserve">Anmeldungen ausstellender Unternehmen, davon </w:t>
      </w:r>
      <w:r w:rsidR="008F7DA5" w:rsidRPr="008F7DA5">
        <w:rPr>
          <w:color w:val="auto"/>
        </w:rPr>
        <w:t>61</w:t>
      </w:r>
      <w:r w:rsidRPr="00073479">
        <w:t xml:space="preserve">% international. </w:t>
      </w:r>
      <w:r w:rsidR="004722FD">
        <w:t>„</w:t>
      </w:r>
      <w:r>
        <w:t>Das große Interesse auf Anbieterseite verdeutlicht die hohe Relevanz des Messeangebots und des vorgestellten Themenspektrums, das die gesamte Wertschöpfungskette der Leistungselektronik abdeckt</w:t>
      </w:r>
      <w:r w:rsidR="004722FD">
        <w:t xml:space="preserve">“, erläutert Lisette Hausser, </w:t>
      </w:r>
      <w:proofErr w:type="spellStart"/>
      <w:r w:rsidR="004722FD">
        <w:t>Vice</w:t>
      </w:r>
      <w:proofErr w:type="spellEnd"/>
      <w:r w:rsidR="004722FD">
        <w:t xml:space="preserve"> </w:t>
      </w:r>
      <w:proofErr w:type="spellStart"/>
      <w:r w:rsidR="004722FD">
        <w:t>Preside</w:t>
      </w:r>
      <w:r w:rsidR="00D37C53">
        <w:t>n</w:t>
      </w:r>
      <w:r w:rsidR="004722FD">
        <w:t>t</w:t>
      </w:r>
      <w:proofErr w:type="spellEnd"/>
      <w:r w:rsidR="004722FD">
        <w:t xml:space="preserve"> PCIM der Mesago Messe Frankfurt GmbH und ergänzt „mit der Erweiterung um zwei weitere Hallen</w:t>
      </w:r>
      <w:r w:rsidR="00245887">
        <w:t xml:space="preserve"> auf </w:t>
      </w:r>
      <w:r w:rsidR="00245887" w:rsidRPr="00103341">
        <w:rPr>
          <w:color w:val="auto"/>
        </w:rPr>
        <w:t>erstmals</w:t>
      </w:r>
      <w:r w:rsidR="00245887">
        <w:t xml:space="preserve"> sechs Mess</w:t>
      </w:r>
      <w:r w:rsidR="00A00247">
        <w:t>e</w:t>
      </w:r>
      <w:r w:rsidR="00245887">
        <w:t xml:space="preserve">hallen </w:t>
      </w:r>
      <w:r w:rsidR="00D24812">
        <w:t>bieten wir den Anbietern noch mehr Raum,</w:t>
      </w:r>
      <w:r w:rsidR="00245887" w:rsidRPr="00073479">
        <w:t xml:space="preserve"> ihre </w:t>
      </w:r>
      <w:r w:rsidR="00D24812">
        <w:rPr>
          <w:color w:val="auto"/>
        </w:rPr>
        <w:t>neu</w:t>
      </w:r>
      <w:r w:rsidR="00103341">
        <w:rPr>
          <w:color w:val="auto"/>
        </w:rPr>
        <w:t xml:space="preserve">esten </w:t>
      </w:r>
      <w:r w:rsidR="00245887" w:rsidRPr="00103341">
        <w:rPr>
          <w:color w:val="auto"/>
        </w:rPr>
        <w:t>Innovationen und Entwicklungen</w:t>
      </w:r>
      <w:r w:rsidR="00103341">
        <w:rPr>
          <w:color w:val="auto"/>
        </w:rPr>
        <w:t xml:space="preserve"> in der Leistungselektronik einem internationalen Fachpublikum zu präsentieren</w:t>
      </w:r>
      <w:r w:rsidR="00245887" w:rsidRPr="00103341">
        <w:rPr>
          <w:color w:val="auto"/>
        </w:rPr>
        <w:t xml:space="preserve">.“ </w:t>
      </w:r>
    </w:p>
    <w:p w14:paraId="3E6874C7" w14:textId="4C207FCA" w:rsidR="00700DD9" w:rsidRPr="00FA3BD0" w:rsidRDefault="00700DD9" w:rsidP="00700DD9">
      <w:pPr>
        <w:pStyle w:val="Continuoustext"/>
        <w:rPr>
          <w:color w:val="auto"/>
        </w:rPr>
      </w:pPr>
      <w:r w:rsidRPr="00FA3BD0">
        <w:rPr>
          <w:color w:val="auto"/>
        </w:rPr>
        <w:t>Zu den Aussteller</w:t>
      </w:r>
      <w:r w:rsidR="00761B79" w:rsidRPr="00FA3BD0">
        <w:rPr>
          <w:color w:val="auto"/>
        </w:rPr>
        <w:t>n</w:t>
      </w:r>
      <w:r w:rsidRPr="00FA3BD0">
        <w:rPr>
          <w:color w:val="auto"/>
        </w:rPr>
        <w:t xml:space="preserve"> zählen Branchenführer wie Infineon, Mitsubishi, Semikron Danfoss</w:t>
      </w:r>
      <w:r w:rsidR="00A00247" w:rsidRPr="00FA3BD0">
        <w:rPr>
          <w:color w:val="auto"/>
        </w:rPr>
        <w:t xml:space="preserve"> </w:t>
      </w:r>
      <w:r w:rsidRPr="00FA3BD0">
        <w:rPr>
          <w:color w:val="auto"/>
        </w:rPr>
        <w:t>und EPC. Die neuen Hallen 4 und 4A profitieren von</w:t>
      </w:r>
      <w:r w:rsidR="008D2A08" w:rsidRPr="00FA3BD0">
        <w:rPr>
          <w:color w:val="auto"/>
        </w:rPr>
        <w:t xml:space="preserve"> dem</w:t>
      </w:r>
      <w:r w:rsidRPr="00FA3BD0">
        <w:rPr>
          <w:color w:val="auto"/>
        </w:rPr>
        <w:t xml:space="preserve"> vielfältigen Angebot von beispielsweise Toshiba, </w:t>
      </w:r>
      <w:proofErr w:type="spellStart"/>
      <w:r w:rsidRPr="00FA3BD0">
        <w:rPr>
          <w:color w:val="auto"/>
        </w:rPr>
        <w:t>N</w:t>
      </w:r>
      <w:r w:rsidR="00A00247" w:rsidRPr="00FA3BD0">
        <w:rPr>
          <w:color w:val="auto"/>
        </w:rPr>
        <w:t>ovosense</w:t>
      </w:r>
      <w:proofErr w:type="spellEnd"/>
      <w:r w:rsidR="009B0999">
        <w:rPr>
          <w:color w:val="auto"/>
        </w:rPr>
        <w:t>,</w:t>
      </w:r>
      <w:r w:rsidRPr="00FA3BD0">
        <w:rPr>
          <w:color w:val="auto"/>
        </w:rPr>
        <w:t xml:space="preserve"> </w:t>
      </w:r>
      <w:proofErr w:type="spellStart"/>
      <w:r w:rsidRPr="00FA3BD0">
        <w:rPr>
          <w:color w:val="auto"/>
        </w:rPr>
        <w:t>Microelectronics</w:t>
      </w:r>
      <w:proofErr w:type="spellEnd"/>
      <w:r w:rsidRPr="00FA3BD0">
        <w:rPr>
          <w:color w:val="auto"/>
        </w:rPr>
        <w:t xml:space="preserve">, </w:t>
      </w:r>
      <w:proofErr w:type="spellStart"/>
      <w:r w:rsidRPr="00FA3BD0">
        <w:rPr>
          <w:color w:val="auto"/>
        </w:rPr>
        <w:t>Renesas</w:t>
      </w:r>
      <w:proofErr w:type="spellEnd"/>
      <w:r w:rsidRPr="00FA3BD0">
        <w:rPr>
          <w:color w:val="auto"/>
        </w:rPr>
        <w:t xml:space="preserve"> </w:t>
      </w:r>
      <w:bookmarkStart w:id="2" w:name="_Hlk189817507"/>
      <w:r w:rsidRPr="00FA3BD0">
        <w:rPr>
          <w:color w:val="auto"/>
        </w:rPr>
        <w:t>Electronics und Endrich Bauelemente.</w:t>
      </w:r>
    </w:p>
    <w:p w14:paraId="4854C38B" w14:textId="38041884" w:rsidR="00700DD9" w:rsidRPr="006E6CAE" w:rsidRDefault="00700DD9" w:rsidP="00700DD9">
      <w:pPr>
        <w:pStyle w:val="Continuoustext"/>
      </w:pPr>
      <w:r w:rsidRPr="00470DCA">
        <w:t xml:space="preserve">Mit </w:t>
      </w:r>
      <w:r>
        <w:t>mehr als 160</w:t>
      </w:r>
      <w:r w:rsidRPr="00721E55">
        <w:t xml:space="preserve"> </w:t>
      </w:r>
      <w:r w:rsidRPr="006E6CAE">
        <w:t>Neuausstellern aus 20 Ländern</w:t>
      </w:r>
      <w:r w:rsidR="00103341">
        <w:t xml:space="preserve"> wie zum Beispiel Italien, Japan und Frankreich </w:t>
      </w:r>
      <w:r w:rsidRPr="00470DCA">
        <w:t xml:space="preserve">verspricht die Fachmesse </w:t>
      </w:r>
      <w:r>
        <w:t xml:space="preserve">zudem </w:t>
      </w:r>
      <w:r w:rsidRPr="00470DCA">
        <w:t>ein noch umfangreicheres und vielfältigeres Angebot, das die Potenziale der Leistungselektronik in all ihren Facetten präsentiert</w:t>
      </w:r>
      <w:r w:rsidRPr="006E6CAE">
        <w:t>. Die Teilnahme neuer Unternehmen aus verschiedenen Nationen fördert die Vernetzung auf globaler Ebene</w:t>
      </w:r>
      <w:r>
        <w:t xml:space="preserve"> und</w:t>
      </w:r>
      <w:r w:rsidRPr="006E6CAE">
        <w:t xml:space="preserve"> schafft Synergien, die die Entwicklung</w:t>
      </w:r>
      <w:r>
        <w:t>en</w:t>
      </w:r>
      <w:r w:rsidRPr="006E6CAE">
        <w:t xml:space="preserve"> neuer Technologien beschleunigen</w:t>
      </w:r>
      <w:r w:rsidR="00902BC6">
        <w:t xml:space="preserve"> können</w:t>
      </w:r>
      <w:r w:rsidR="008D2A08">
        <w:t>.</w:t>
      </w:r>
    </w:p>
    <w:p w14:paraId="76DE8FBF" w14:textId="4ED1C147" w:rsidR="00700DD9" w:rsidRPr="00700DD9" w:rsidRDefault="00700DD9" w:rsidP="00700DD9">
      <w:pPr>
        <w:rPr>
          <w:rFonts w:ascii="Arial" w:hAnsi="Arial" w:cs="Arial"/>
          <w:lang w:val="de-DE"/>
        </w:rPr>
      </w:pPr>
      <w:r w:rsidRPr="006E6CAE">
        <w:rPr>
          <w:rFonts w:ascii="Arial" w:hAnsi="Arial" w:cs="Arial"/>
          <w:lang w:val="de-DE"/>
        </w:rPr>
        <w:t>Zu den erstmals teilnehmenden Unternehmen gehören sowohl etablierte Marktführer als auch innovative Technologiefirmen, wie</w:t>
      </w:r>
      <w:r w:rsidRPr="00DE43EC">
        <w:rPr>
          <w:rFonts w:ascii="Arial" w:hAnsi="Arial" w:cs="Arial"/>
          <w:color w:val="auto"/>
          <w:lang w:val="de-DE"/>
        </w:rPr>
        <w:t xml:space="preserve"> </w:t>
      </w:r>
      <w:r w:rsidRPr="00FA3BD0">
        <w:rPr>
          <w:rFonts w:ascii="Arial" w:hAnsi="Arial" w:cs="Arial"/>
          <w:color w:val="auto"/>
          <w:lang w:val="de-DE"/>
        </w:rPr>
        <w:t>SPEA, ASYS Group</w:t>
      </w:r>
      <w:r w:rsidRPr="00552A74">
        <w:rPr>
          <w:rFonts w:ascii="Arial" w:hAnsi="Arial" w:cs="Arial"/>
          <w:color w:val="auto"/>
          <w:lang w:val="de-DE"/>
        </w:rPr>
        <w:t xml:space="preserve">, </w:t>
      </w:r>
      <w:proofErr w:type="spellStart"/>
      <w:r w:rsidRPr="00552A74">
        <w:rPr>
          <w:rFonts w:ascii="Arial" w:hAnsi="Arial" w:cs="Arial"/>
          <w:color w:val="auto"/>
          <w:lang w:val="de-DE"/>
        </w:rPr>
        <w:t>Parmi</w:t>
      </w:r>
      <w:proofErr w:type="spellEnd"/>
      <w:r w:rsidR="008707A1" w:rsidRPr="00552A74">
        <w:rPr>
          <w:rFonts w:ascii="Arial" w:hAnsi="Arial" w:cs="Arial"/>
          <w:color w:val="auto"/>
          <w:lang w:val="de-DE"/>
        </w:rPr>
        <w:t>,</w:t>
      </w:r>
      <w:r w:rsidR="00552A74" w:rsidRPr="00552A74">
        <w:rPr>
          <w:rFonts w:ascii="Arial" w:hAnsi="Arial" w:cs="Arial"/>
          <w:color w:val="auto"/>
          <w:lang w:val="de-DE"/>
        </w:rPr>
        <w:t xml:space="preserve"> </w:t>
      </w:r>
      <w:r w:rsidRPr="00552A74">
        <w:rPr>
          <w:rFonts w:ascii="Arial" w:hAnsi="Arial" w:cs="Arial"/>
          <w:color w:val="auto"/>
          <w:lang w:val="de-DE"/>
        </w:rPr>
        <w:t>Augsburg Diamond Foundry und GE Aviation Systems</w:t>
      </w:r>
      <w:r w:rsidRPr="00DE43EC">
        <w:rPr>
          <w:rFonts w:ascii="Arial" w:hAnsi="Arial" w:cs="Arial"/>
          <w:color w:val="auto"/>
          <w:lang w:val="de-DE"/>
        </w:rPr>
        <w:t xml:space="preserve">. </w:t>
      </w:r>
      <w:r w:rsidRPr="006E6CAE">
        <w:rPr>
          <w:rFonts w:ascii="Arial" w:hAnsi="Arial" w:cs="Arial"/>
          <w:lang w:val="de-DE"/>
        </w:rPr>
        <w:t xml:space="preserve">Das Spektrum der vorgestellten Lösungen umfasst </w:t>
      </w:r>
      <w:r w:rsidR="008707A1">
        <w:rPr>
          <w:rFonts w:ascii="Arial" w:hAnsi="Arial" w:cs="Arial"/>
          <w:lang w:val="de-DE"/>
        </w:rPr>
        <w:t>Leistungsh</w:t>
      </w:r>
      <w:r w:rsidRPr="006E6CAE">
        <w:rPr>
          <w:rFonts w:ascii="Arial" w:hAnsi="Arial" w:cs="Arial"/>
          <w:lang w:val="de-DE"/>
        </w:rPr>
        <w:t xml:space="preserve">albleiter, Test- und Messtechniken, Automatisierungslösungen und Materialien für unterschiedliche Anwendungsbereiche, wie beispielsweise die Luftfahrtindustrie. </w:t>
      </w:r>
    </w:p>
    <w:p w14:paraId="533D93F0" w14:textId="77777777" w:rsidR="00700DD9" w:rsidRPr="00DE43EC" w:rsidRDefault="00700DD9" w:rsidP="00700DD9">
      <w:pPr>
        <w:ind w:left="284"/>
        <w:rPr>
          <w:rFonts w:ascii="Arial" w:hAnsi="Arial" w:cs="Arial"/>
          <w:color w:val="auto"/>
          <w:lang w:val="de-DE"/>
        </w:rPr>
      </w:pPr>
    </w:p>
    <w:bookmarkEnd w:id="2"/>
    <w:p w14:paraId="46087780" w14:textId="625633BF" w:rsidR="00700DD9" w:rsidRPr="00700DD9" w:rsidRDefault="00700DD9" w:rsidP="00700DD9">
      <w:pPr>
        <w:pStyle w:val="berschrift3"/>
        <w:rPr>
          <w:lang w:val="de-DE"/>
        </w:rPr>
      </w:pPr>
      <w:r w:rsidRPr="00700DD9">
        <w:rPr>
          <w:lang w:val="de-DE"/>
        </w:rPr>
        <w:lastRenderedPageBreak/>
        <w:t>Vortragsprogramm</w:t>
      </w:r>
      <w:r w:rsidR="003B36B0">
        <w:rPr>
          <w:lang w:val="de-DE"/>
        </w:rPr>
        <w:t xml:space="preserve"> bietet</w:t>
      </w:r>
      <w:r w:rsidRPr="00700DD9">
        <w:rPr>
          <w:lang w:val="de-DE"/>
        </w:rPr>
        <w:t xml:space="preserve"> </w:t>
      </w:r>
      <w:r w:rsidR="003B36B0" w:rsidRPr="00FA3BD0">
        <w:rPr>
          <w:lang w:val="de-DE"/>
        </w:rPr>
        <w:t>Einblicke in Innovationen, Nachhaltigkeit und Zukunftstrends der Leistungselektronik</w:t>
      </w:r>
    </w:p>
    <w:p w14:paraId="1C8F31D3" w14:textId="29D58580" w:rsidR="00700DD9" w:rsidRDefault="00700DD9" w:rsidP="00700DD9">
      <w:pPr>
        <w:pStyle w:val="Continuoustext"/>
      </w:pPr>
      <w:r>
        <w:t xml:space="preserve">In dem umfangreichen Vortragsprogramm der drei Stages wird </w:t>
      </w:r>
      <w:r w:rsidRPr="00073479">
        <w:t>Fachwissen zu Trends und Herausforderungen</w:t>
      </w:r>
      <w:r>
        <w:t xml:space="preserve"> der Branche</w:t>
      </w:r>
      <w:r w:rsidRPr="00073479">
        <w:t xml:space="preserve"> kompakt vermittelt</w:t>
      </w:r>
      <w:r>
        <w:t>. Zudem werden p</w:t>
      </w:r>
      <w:r w:rsidRPr="00073479">
        <w:t xml:space="preserve">raxisnahe Anwendungsbeispiele neuester Technologien </w:t>
      </w:r>
      <w:r>
        <w:t>vorgestellt</w:t>
      </w:r>
      <w:r w:rsidRPr="00073479">
        <w:t>.</w:t>
      </w:r>
    </w:p>
    <w:p w14:paraId="403FCEAE" w14:textId="200C1834" w:rsidR="00700DD9" w:rsidRDefault="00700DD9" w:rsidP="00700DD9">
      <w:pPr>
        <w:pStyle w:val="Continuoustext"/>
      </w:pPr>
      <w:r>
        <w:t>Auf der Technology Stage werden i</w:t>
      </w:r>
      <w:r w:rsidRPr="00073479">
        <w:t>n Vorträgen und Podiumsdiskussionen</w:t>
      </w:r>
      <w:r>
        <w:t xml:space="preserve"> </w:t>
      </w:r>
      <w:r w:rsidRPr="00073479">
        <w:t>aktuelle Forschungsergebnisse führender Universitäten und Anbieter</w:t>
      </w:r>
      <w:r>
        <w:t xml:space="preserve"> diskutiert. Zu den Programmhighlights gehör</w:t>
      </w:r>
      <w:r w:rsidR="00103341">
        <w:t xml:space="preserve">t ein Vortrag zum Thema Nachhaltigkeit von Pink Thermosysteme sowie ein Vortrag zum Thema Wide </w:t>
      </w:r>
      <w:proofErr w:type="spellStart"/>
      <w:r w:rsidR="00103341">
        <w:t>Bandgap</w:t>
      </w:r>
      <w:proofErr w:type="spellEnd"/>
      <w:r w:rsidR="00103341">
        <w:t xml:space="preserve"> </w:t>
      </w:r>
      <w:proofErr w:type="spellStart"/>
      <w:r w:rsidR="00103341">
        <w:t>Divices</w:t>
      </w:r>
      <w:proofErr w:type="spellEnd"/>
      <w:r w:rsidR="00103341">
        <w:t xml:space="preserve"> and </w:t>
      </w:r>
      <w:proofErr w:type="spellStart"/>
      <w:r w:rsidR="00103341">
        <w:t>Applications</w:t>
      </w:r>
      <w:proofErr w:type="spellEnd"/>
      <w:r w:rsidR="00103341">
        <w:t xml:space="preserve"> von Fraunhofer IAF.</w:t>
      </w:r>
      <w:r>
        <w:t xml:space="preserve"> </w:t>
      </w:r>
    </w:p>
    <w:p w14:paraId="6AE8B590" w14:textId="00B5E96E" w:rsidR="00700DD9" w:rsidRDefault="00700DD9" w:rsidP="00700DD9">
      <w:pPr>
        <w:pStyle w:val="Continuoustext"/>
      </w:pPr>
      <w:r>
        <w:t xml:space="preserve">Die Exhibitor Stage </w:t>
      </w:r>
      <w:r w:rsidRPr="00073479">
        <w:t>bietet</w:t>
      </w:r>
      <w:r>
        <w:t xml:space="preserve"> Besucher*innen</w:t>
      </w:r>
      <w:r w:rsidRPr="00073479">
        <w:t xml:space="preserve"> tiefgehende Einblicke in Produktinnovationen ausstellender Unternehmen, </w:t>
      </w:r>
      <w:r>
        <w:t>darunter</w:t>
      </w:r>
      <w:r w:rsidR="00954058">
        <w:t xml:space="preserve"> Hitachi, </w:t>
      </w:r>
      <w:proofErr w:type="spellStart"/>
      <w:r w:rsidR="00954058">
        <w:t>MacDermid</w:t>
      </w:r>
      <w:proofErr w:type="spellEnd"/>
      <w:r w:rsidR="00954058">
        <w:t xml:space="preserve">, </w:t>
      </w:r>
      <w:proofErr w:type="spellStart"/>
      <w:r w:rsidR="00954058">
        <w:t>Cissoid</w:t>
      </w:r>
      <w:proofErr w:type="spellEnd"/>
      <w:r w:rsidR="00954058">
        <w:t xml:space="preserve"> und Broadcom.</w:t>
      </w:r>
    </w:p>
    <w:p w14:paraId="7C8A32AB" w14:textId="3EF82BA0" w:rsidR="00700DD9" w:rsidRDefault="00700DD9" w:rsidP="00700DD9">
      <w:pPr>
        <w:pStyle w:val="Continuoustext"/>
      </w:pPr>
      <w:r>
        <w:t xml:space="preserve">Aktuelle und zukünftige Entwicklungen der Leistungselektronik für die Anwendung in der Elektromobilität und Energiespeicherung stehen im Fokus der E-Mobility &amp; Energy Storage Stage. Dabei werden unterschiedliche Applikationen, beispielsweise </w:t>
      </w:r>
      <w:r w:rsidRPr="00D355F1">
        <w:t>Elektro-, Hybrid- und Brennstoffzellenfahrzeuge, betrachtet.</w:t>
      </w:r>
      <w:r>
        <w:t xml:space="preserve"> Zu den teilnehmenden Anbietern gehören Unternehmen wie</w:t>
      </w:r>
      <w:r w:rsidR="00954058">
        <w:t xml:space="preserve"> Wolfspeed, Littelfuse und Heraeus.</w:t>
      </w:r>
    </w:p>
    <w:p w14:paraId="5CC6D6E9" w14:textId="77777777" w:rsidR="00700DD9" w:rsidRDefault="00700DD9" w:rsidP="00700DD9">
      <w:pPr>
        <w:pStyle w:val="Continuoustext"/>
      </w:pPr>
      <w:r>
        <w:t>Die Vorträge der Stages werden vor Ort aufgezeichnet und anschließend auf der Veranstaltungswebsite für alle Interessierten kostenfrei und jederzeit zugänglich bereitgestellt.</w:t>
      </w:r>
    </w:p>
    <w:p w14:paraId="7CBF4D85" w14:textId="01B3F3A7" w:rsidR="00022157" w:rsidRPr="00387700" w:rsidRDefault="00830645" w:rsidP="00700DD9">
      <w:pPr>
        <w:pStyle w:val="berschrift3"/>
        <w:rPr>
          <w:lang w:val="de-DE"/>
        </w:rPr>
      </w:pPr>
      <w:r w:rsidRPr="00870708">
        <w:rPr>
          <w:lang w:val="de-DE"/>
        </w:rPr>
        <w:t xml:space="preserve">PCIM Conference 2025: </w:t>
      </w:r>
      <w:r w:rsidR="00387700" w:rsidRPr="00D33DE4">
        <w:rPr>
          <w:lang w:val="de-DE"/>
        </w:rPr>
        <w:t xml:space="preserve"> </w:t>
      </w:r>
      <w:r w:rsidR="00387700">
        <w:rPr>
          <w:lang w:val="de-DE"/>
        </w:rPr>
        <w:t>Ü</w:t>
      </w:r>
      <w:r w:rsidR="00387700" w:rsidRPr="00D33DE4">
        <w:rPr>
          <w:lang w:val="de-DE"/>
        </w:rPr>
        <w:t>ber 450 Erstveröffentlichungen aus Industrie und Wissenschaft</w:t>
      </w:r>
    </w:p>
    <w:p w14:paraId="33E1C929" w14:textId="3BEC13B5" w:rsidR="00830645" w:rsidRDefault="00830645" w:rsidP="00830645">
      <w:pPr>
        <w:pStyle w:val="Continuoustext"/>
      </w:pPr>
      <w:r>
        <w:t xml:space="preserve">Die PCIM Conference 2025, begleitend zur PCIM Expo, bietet drei Tage voller Inspiration, Innovation und Interaktion. Mit über 450 Erstveröffentlichungen aus Industrie und Wissenschaft stellt sie eine zentrale Plattform für den Wissenstransfer und die </w:t>
      </w:r>
      <w:r w:rsidR="000B6BB1">
        <w:t>Präsentation spannender</w:t>
      </w:r>
      <w:r>
        <w:t xml:space="preserve"> Entwicklungen dar.</w:t>
      </w:r>
    </w:p>
    <w:p w14:paraId="77EEF3EC" w14:textId="51AE68B3" w:rsidR="00830645" w:rsidRDefault="00830645" w:rsidP="00830645">
      <w:pPr>
        <w:pStyle w:val="Continuoustext"/>
      </w:pPr>
      <w:r>
        <w:t xml:space="preserve">Ein besonderes Highlight der Konferenz sind die Keynote-Vorträge zum Auftakt eines jeden Konferenztages. Die Teilnehmenden können sich auf erstklassige und inspirierende Präsentationen freuen, die aktuelle, wegweisende und innovative Themen der Branche in den Fokus rücken. </w:t>
      </w:r>
      <w:proofErr w:type="spellStart"/>
      <w:r>
        <w:t>Dushan</w:t>
      </w:r>
      <w:proofErr w:type="spellEnd"/>
      <w:r>
        <w:t xml:space="preserve"> </w:t>
      </w:r>
      <w:proofErr w:type="spellStart"/>
      <w:r>
        <w:t>Boroyevich</w:t>
      </w:r>
      <w:proofErr w:type="spellEnd"/>
      <w:r>
        <w:t xml:space="preserve"> (CPES) beginnt mit der ersten Keynote der Konferenz zum Thema „Medium </w:t>
      </w:r>
      <w:proofErr w:type="spellStart"/>
      <w:r>
        <w:t>Voltage</w:t>
      </w:r>
      <w:proofErr w:type="spellEnd"/>
      <w:r>
        <w:t xml:space="preserve"> Power Electronics Building Blocks for Future Electronic Energy Networks“. </w:t>
      </w:r>
      <w:r w:rsidRPr="00E133DA">
        <w:t>Am zweiten Konferenztag referiert Michael Harrison (</w:t>
      </w:r>
      <w:proofErr w:type="spellStart"/>
      <w:r w:rsidRPr="00E133DA">
        <w:t>Enphase</w:t>
      </w:r>
      <w:proofErr w:type="spellEnd"/>
      <w:r w:rsidRPr="00E133DA">
        <w:t xml:space="preserve"> Energy) über das Thema „</w:t>
      </w:r>
      <w:proofErr w:type="spellStart"/>
      <w:r w:rsidRPr="00E133DA">
        <w:t>Monolithically</w:t>
      </w:r>
      <w:proofErr w:type="spellEnd"/>
      <w:r w:rsidRPr="00E133DA">
        <w:t xml:space="preserve"> Integrated Bi-</w:t>
      </w:r>
      <w:proofErr w:type="spellStart"/>
      <w:r w:rsidRPr="00E133DA">
        <w:t>Directional</w:t>
      </w:r>
      <w:proofErr w:type="spellEnd"/>
      <w:r w:rsidRPr="00E133DA">
        <w:t xml:space="preserve"> Switch (BDS) GaN HEMT Technology“. </w:t>
      </w:r>
      <w:r>
        <w:t xml:space="preserve">Zum Abschluss der Keynote-Vorträge präsentiert Johann Walter Kolar (ETH Zürich) am letzten Tag der Konferenz den Vortrag „Challenges of Green Growth – Limited Energy Return on Energy </w:t>
      </w:r>
      <w:proofErr w:type="spellStart"/>
      <w:r>
        <w:t>Invested</w:t>
      </w:r>
      <w:proofErr w:type="spellEnd"/>
      <w:r>
        <w:t xml:space="preserve"> &amp; Critical Raw Material </w:t>
      </w:r>
      <w:proofErr w:type="spellStart"/>
      <w:r>
        <w:t>Shortage</w:t>
      </w:r>
      <w:proofErr w:type="spellEnd"/>
      <w:r>
        <w:t>“.</w:t>
      </w:r>
    </w:p>
    <w:p w14:paraId="25109BC3" w14:textId="25636C46" w:rsidR="00830645" w:rsidRDefault="00830645" w:rsidP="00830645">
      <w:pPr>
        <w:pStyle w:val="Continuoustext"/>
      </w:pPr>
      <w:r w:rsidRPr="00830645">
        <w:rPr>
          <w:lang w:val="en-US"/>
        </w:rPr>
        <w:t xml:space="preserve">Ein </w:t>
      </w:r>
      <w:proofErr w:type="spellStart"/>
      <w:r w:rsidRPr="00830645">
        <w:rPr>
          <w:lang w:val="en-US"/>
        </w:rPr>
        <w:t>weiteres</w:t>
      </w:r>
      <w:proofErr w:type="spellEnd"/>
      <w:r w:rsidRPr="00830645">
        <w:rPr>
          <w:lang w:val="en-US"/>
        </w:rPr>
        <w:t xml:space="preserve"> Highlight der PCIM Conference 2025 </w:t>
      </w:r>
      <w:proofErr w:type="spellStart"/>
      <w:r w:rsidRPr="00830645">
        <w:rPr>
          <w:lang w:val="en-US"/>
        </w:rPr>
        <w:t>ist</w:t>
      </w:r>
      <w:proofErr w:type="spellEnd"/>
      <w:r w:rsidRPr="00830645">
        <w:rPr>
          <w:lang w:val="en-US"/>
        </w:rPr>
        <w:t xml:space="preserve"> die Special Session zum Thema „Circular Economy in Power Electronics”. </w:t>
      </w:r>
      <w:r>
        <w:t>Die Session wird von Ole Gerkensmeyer</w:t>
      </w:r>
      <w:r w:rsidR="00E133DA">
        <w:t xml:space="preserve"> (Nexperia)</w:t>
      </w:r>
      <w:r>
        <w:t>, Fachbeiratsmitglied der PCIM Conference</w:t>
      </w:r>
      <w:r w:rsidR="00652BF1">
        <w:t>,</w:t>
      </w:r>
      <w:r>
        <w:t xml:space="preserve"> organsiert und findet am Vormittag des letzten Konferenztages statt.</w:t>
      </w:r>
    </w:p>
    <w:p w14:paraId="5175A9D8" w14:textId="154CC85B" w:rsidR="0066139E" w:rsidRPr="00870708" w:rsidRDefault="0066139E" w:rsidP="0066139E">
      <w:pPr>
        <w:pStyle w:val="berschrift3"/>
        <w:rPr>
          <w:lang w:val="de-DE"/>
        </w:rPr>
      </w:pPr>
      <w:r w:rsidRPr="00870708">
        <w:rPr>
          <w:lang w:val="de-DE"/>
        </w:rPr>
        <w:lastRenderedPageBreak/>
        <w:t>Praxisnahes Lernen: Seminare im Blickpunkt</w:t>
      </w:r>
    </w:p>
    <w:p w14:paraId="340DE183" w14:textId="26FC2606" w:rsidR="00830645" w:rsidRDefault="00830645" w:rsidP="00830645">
      <w:pPr>
        <w:pStyle w:val="Continuoustext"/>
      </w:pPr>
      <w:r>
        <w:t xml:space="preserve">An den beiden Vortagen der PCIM Expo &amp; Conference bieten die PCIM Seminars </w:t>
      </w:r>
      <w:r w:rsidR="002A0F7B">
        <w:t>mit halbtägigen Seminaren</w:t>
      </w:r>
      <w:r>
        <w:t xml:space="preserve"> die Möglichkeit zum intensiven Austausch mit Expert*innen und zur praxisnahen Weiterbildung. </w:t>
      </w:r>
    </w:p>
    <w:p w14:paraId="7956900B" w14:textId="3DA6DB16" w:rsidR="0066139E" w:rsidRDefault="00830645" w:rsidP="0066139E">
      <w:pPr>
        <w:pStyle w:val="Continuoustext"/>
      </w:pPr>
      <w:r>
        <w:t>Die PCIM Conference 2025 bietet exklusive Einblicke in neue Technologien und fördert den Austausch zwischen Wissenschaft und Industrie. Sie schafft eine ideale Plattform für Networking und den Aufbau strategischer Partnerschaften.</w:t>
      </w:r>
      <w:r w:rsidR="00EC0D60">
        <w:t xml:space="preserve"> </w:t>
      </w:r>
    </w:p>
    <w:p w14:paraId="3AA22512" w14:textId="378D2A91" w:rsidR="0066139E" w:rsidRPr="00AD541B" w:rsidRDefault="0066139E" w:rsidP="00BD3BA1">
      <w:pPr>
        <w:pStyle w:val="Continuoustext"/>
      </w:pPr>
      <w:r w:rsidRPr="0066139E">
        <w:t xml:space="preserve">Weitere Informationen zur Veranstaltung sowie das Programm und der Ticketshop sind unter </w:t>
      </w:r>
      <w:hyperlink r:id="rId7" w:history="1">
        <w:r w:rsidRPr="0066139E">
          <w:rPr>
            <w:rStyle w:val="Hyperlink"/>
          </w:rPr>
          <w:t>pcim.de</w:t>
        </w:r>
      </w:hyperlink>
      <w:r w:rsidRPr="0066139E">
        <w:t xml:space="preserve"> einsehbar.</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781E0956">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774199" w14:paraId="0FA86FF7" w14:textId="77777777" w:rsidTr="006241DE">
        <w:tc>
          <w:tcPr>
            <w:tcW w:w="5953" w:type="dxa"/>
          </w:tcPr>
          <w:p w14:paraId="771C319E" w14:textId="2C631E45" w:rsidR="00132485" w:rsidRPr="00BC16F1" w:rsidRDefault="00BC16F1" w:rsidP="00C85550">
            <w:pPr>
              <w:pStyle w:val="Imagecaption"/>
              <w:rPr>
                <w:lang w:val="de-DE"/>
              </w:rPr>
            </w:pPr>
            <w:r w:rsidRPr="00BC16F1">
              <w:rPr>
                <w:lang w:val="de-DE"/>
              </w:rPr>
              <w:t>Mesago Messe Frankfurt GmbH / Arturo Rivas Gonzalez</w:t>
            </w:r>
          </w:p>
        </w:tc>
      </w:tr>
    </w:tbl>
    <w:p w14:paraId="0A154984" w14:textId="61936812" w:rsidR="007B2F67" w:rsidRPr="0024263C" w:rsidRDefault="007C62B4" w:rsidP="00011797">
      <w:pPr>
        <w:pStyle w:val="Continuoustext"/>
      </w:pPr>
      <w:bookmarkStart w:id="3" w:name="VADatum"/>
      <w:bookmarkEnd w:id="3"/>
      <w:r w:rsidRPr="0024263C">
        <w:t xml:space="preserve">PCIM </w:t>
      </w:r>
      <w:r w:rsidR="00777BF2">
        <w:t>Expo &amp; Conference</w:t>
      </w:r>
    </w:p>
    <w:p w14:paraId="6DB1F869" w14:textId="67AD3BFA"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F0D6B" w:rsidR="00C56C0A" w:rsidRPr="00D0475A" w:rsidRDefault="00D0475A" w:rsidP="00673621">
      <w:pPr>
        <w:pStyle w:val="Continuoustext"/>
      </w:pPr>
      <w:r w:rsidRPr="00D0475A">
        <w:t>Die</w:t>
      </w:r>
      <w:r w:rsidR="007B2F67" w:rsidRPr="00D0475A">
        <w:t xml:space="preserve"> </w:t>
      </w:r>
      <w:r w:rsidR="007C62B4" w:rsidRPr="00D0475A">
        <w:t>PCIM</w:t>
      </w:r>
      <w:r w:rsidR="00777BF2">
        <w:t xml:space="preserve"> Expo &amp; Conference</w:t>
      </w:r>
      <w:r w:rsidR="00281D02" w:rsidRPr="00D0475A">
        <w:t xml:space="preserve"> </w:t>
      </w:r>
      <w:r w:rsidRPr="00D0475A">
        <w:t>findet statt vom</w:t>
      </w:r>
      <w:r w:rsidR="007B2F67" w:rsidRPr="00D0475A">
        <w:t xml:space="preserve"> </w:t>
      </w:r>
      <w:r w:rsidR="002B1BE0">
        <w:t>06</w:t>
      </w:r>
      <w:r w:rsidRPr="00D0475A">
        <w:t>.</w:t>
      </w:r>
      <w:r w:rsidR="00A6749A" w:rsidRPr="00D0475A">
        <w:t xml:space="preserve"> </w:t>
      </w:r>
      <w:r>
        <w:t>–</w:t>
      </w:r>
      <w:r w:rsidR="00281D02" w:rsidRPr="00D0475A">
        <w:t xml:space="preserve"> </w:t>
      </w:r>
      <w:r w:rsidR="002B1BE0">
        <w:t>08</w:t>
      </w:r>
      <w:r>
        <w:t>.</w:t>
      </w:r>
      <w:r w:rsidR="00281D02" w:rsidRPr="00D0475A">
        <w:t xml:space="preserve"> </w:t>
      </w:r>
      <w:r w:rsidR="002B1BE0">
        <w:t>Mai</w:t>
      </w:r>
      <w:r w:rsidR="00281D02" w:rsidRPr="00D0475A">
        <w:t xml:space="preserve"> 202</w:t>
      </w:r>
      <w:r w:rsidR="002B1BE0">
        <w:t>5</w:t>
      </w:r>
      <w:r w:rsidR="007B2F67" w:rsidRPr="00D0475A">
        <w:t>.</w:t>
      </w:r>
    </w:p>
    <w:p w14:paraId="0A9F4FEA" w14:textId="1140ED98" w:rsidR="00C56C0A" w:rsidRPr="00D0475A" w:rsidRDefault="007B2F67" w:rsidP="002757C9">
      <w:pPr>
        <w:pStyle w:val="berschrift4"/>
        <w:rPr>
          <w:lang w:val="de-DE"/>
        </w:rPr>
      </w:pPr>
      <w:bookmarkStart w:id="4" w:name="hinweisueberschrift"/>
      <w:bookmarkStart w:id="5" w:name="Presseueberschrift"/>
      <w:bookmarkEnd w:id="4"/>
      <w:bookmarkEnd w:id="5"/>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6" w:name="Journalisten"/>
    <w:bookmarkEnd w:id="6"/>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7" w:name="Netz"/>
    <w:bookmarkEnd w:id="7"/>
    <w:p w14:paraId="22B72496" w14:textId="69169C1C" w:rsidR="00641AD8" w:rsidRPr="00774199" w:rsidRDefault="008A4738" w:rsidP="003F716F">
      <w:pPr>
        <w:pStyle w:val="Continuoustext"/>
        <w:rPr>
          <w:color w:val="auto"/>
        </w:rPr>
      </w:pPr>
      <w:r>
        <w:fldChar w:fldCharType="begin"/>
      </w:r>
      <w:r w:rsidRPr="00774199">
        <w:instrText xml:space="preserve"> HYPERLINK "https://pcim.mesago.com/nuernberg/de.html" </w:instrText>
      </w:r>
      <w:r>
        <w:fldChar w:fldCharType="separate"/>
      </w:r>
      <w:r w:rsidR="00011797" w:rsidRPr="00774199">
        <w:rPr>
          <w:rStyle w:val="Hyperlink"/>
        </w:rPr>
        <w:t>PCIM – Hub for Power Electronics</w:t>
      </w:r>
      <w:r>
        <w:fldChar w:fldCharType="end"/>
      </w:r>
      <w:r w:rsidR="006F08FC" w:rsidRPr="00774199">
        <w:rPr>
          <w:color w:val="auto"/>
        </w:rPr>
        <w:t xml:space="preserve"> </w:t>
      </w:r>
      <w:r w:rsidR="003F716F" w:rsidRPr="00774199">
        <w:rPr>
          <w:color w:val="auto"/>
        </w:rPr>
        <w:br/>
      </w:r>
      <w:r w:rsidR="006F08FC" w:rsidRPr="00774199">
        <w:rPr>
          <w:color w:val="auto"/>
        </w:rPr>
        <w:br/>
      </w:r>
      <w:hyperlink r:id="rId11" w:history="1">
        <w:r w:rsidRPr="00774199">
          <w:rPr>
            <w:rStyle w:val="Hyperlink"/>
          </w:rPr>
          <w:t>https://www.facebook.com/pcim</w:t>
        </w:r>
      </w:hyperlink>
      <w:r w:rsidRPr="00774199">
        <w:rPr>
          <w:color w:val="auto"/>
        </w:rPr>
        <w:t>/</w:t>
      </w:r>
      <w:r w:rsidRPr="00774199">
        <w:rPr>
          <w:color w:val="auto"/>
        </w:rPr>
        <w:br/>
      </w:r>
      <w:hyperlink r:id="rId12" w:history="1">
        <w:r w:rsidRPr="00774199">
          <w:rPr>
            <w:rStyle w:val="Hyperlink"/>
          </w:rPr>
          <w:t>https://www.linkedin.com/showcase/pcim</w:t>
        </w:r>
      </w:hyperlink>
    </w:p>
    <w:p w14:paraId="5FD88D8A" w14:textId="77777777" w:rsidR="003F716F" w:rsidRPr="00774199"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774199" w14:paraId="5E6D1586" w14:textId="77777777" w:rsidTr="00D0475A">
        <w:tc>
          <w:tcPr>
            <w:tcW w:w="5000" w:type="pct"/>
            <w:tcMar>
              <w:top w:w="0" w:type="dxa"/>
              <w:left w:w="142" w:type="dxa"/>
              <w:bottom w:w="0" w:type="dxa"/>
              <w:right w:w="0" w:type="dxa"/>
            </w:tcMar>
            <w:hideMark/>
          </w:tcPr>
          <w:p w14:paraId="5B015D81" w14:textId="519DFC57" w:rsidR="00D0475A" w:rsidRPr="00774199" w:rsidRDefault="00D0475A">
            <w:pPr>
              <w:pStyle w:val="Logogram"/>
              <w:rPr>
                <w:lang w:val="de-DE" w:eastAsia="en-US"/>
              </w:rPr>
            </w:pPr>
            <w:r>
              <w:rPr>
                <w:noProof/>
                <w:lang w:eastAsia="en-US"/>
              </w:rPr>
              <w:lastRenderedPageBreak/>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774199"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774199" w:rsidP="00D0475A">
      <w:pPr>
        <w:pStyle w:val="Continuoustext"/>
        <w:rPr>
          <w:rStyle w:val="Hyperlink"/>
        </w:rPr>
      </w:pPr>
      <w:hyperlink r:id="rId16"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774199" w:rsidP="00D0475A">
      <w:pPr>
        <w:pStyle w:val="Continuoustext"/>
      </w:pPr>
      <w:hyperlink r:id="rId17"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239EAE62">
      <w:start w:val="1"/>
      <w:numFmt w:val="bullet"/>
      <w:lvlText w:val=""/>
      <w:lvlJc w:val="left"/>
      <w:pPr>
        <w:ind w:left="1440" w:hanging="360"/>
      </w:pPr>
      <w:rPr>
        <w:rFonts w:ascii="Symbol" w:hAnsi="Symbol"/>
      </w:rPr>
    </w:lvl>
    <w:lvl w:ilvl="1" w:tplc="6BD69266">
      <w:start w:val="1"/>
      <w:numFmt w:val="bullet"/>
      <w:lvlText w:val=""/>
      <w:lvlJc w:val="left"/>
      <w:pPr>
        <w:ind w:left="1440" w:hanging="360"/>
      </w:pPr>
      <w:rPr>
        <w:rFonts w:ascii="Symbol" w:hAnsi="Symbol"/>
      </w:rPr>
    </w:lvl>
    <w:lvl w:ilvl="2" w:tplc="FEDCCF1E">
      <w:start w:val="1"/>
      <w:numFmt w:val="bullet"/>
      <w:lvlText w:val=""/>
      <w:lvlJc w:val="left"/>
      <w:pPr>
        <w:ind w:left="1440" w:hanging="360"/>
      </w:pPr>
      <w:rPr>
        <w:rFonts w:ascii="Symbol" w:hAnsi="Symbol"/>
      </w:rPr>
    </w:lvl>
    <w:lvl w:ilvl="3" w:tplc="4F0AB0D4">
      <w:start w:val="1"/>
      <w:numFmt w:val="bullet"/>
      <w:lvlText w:val=""/>
      <w:lvlJc w:val="left"/>
      <w:pPr>
        <w:ind w:left="1440" w:hanging="360"/>
      </w:pPr>
      <w:rPr>
        <w:rFonts w:ascii="Symbol" w:hAnsi="Symbol"/>
      </w:rPr>
    </w:lvl>
    <w:lvl w:ilvl="4" w:tplc="3EA4A5EA">
      <w:start w:val="1"/>
      <w:numFmt w:val="bullet"/>
      <w:lvlText w:val=""/>
      <w:lvlJc w:val="left"/>
      <w:pPr>
        <w:ind w:left="1440" w:hanging="360"/>
      </w:pPr>
      <w:rPr>
        <w:rFonts w:ascii="Symbol" w:hAnsi="Symbol"/>
      </w:rPr>
    </w:lvl>
    <w:lvl w:ilvl="5" w:tplc="8932BC94">
      <w:start w:val="1"/>
      <w:numFmt w:val="bullet"/>
      <w:lvlText w:val=""/>
      <w:lvlJc w:val="left"/>
      <w:pPr>
        <w:ind w:left="1440" w:hanging="360"/>
      </w:pPr>
      <w:rPr>
        <w:rFonts w:ascii="Symbol" w:hAnsi="Symbol"/>
      </w:rPr>
    </w:lvl>
    <w:lvl w:ilvl="6" w:tplc="E8E084D4">
      <w:start w:val="1"/>
      <w:numFmt w:val="bullet"/>
      <w:lvlText w:val=""/>
      <w:lvlJc w:val="left"/>
      <w:pPr>
        <w:ind w:left="1440" w:hanging="360"/>
      </w:pPr>
      <w:rPr>
        <w:rFonts w:ascii="Symbol" w:hAnsi="Symbol"/>
      </w:rPr>
    </w:lvl>
    <w:lvl w:ilvl="7" w:tplc="3304A5FA">
      <w:start w:val="1"/>
      <w:numFmt w:val="bullet"/>
      <w:lvlText w:val=""/>
      <w:lvlJc w:val="left"/>
      <w:pPr>
        <w:ind w:left="1440" w:hanging="360"/>
      </w:pPr>
      <w:rPr>
        <w:rFonts w:ascii="Symbol" w:hAnsi="Symbol"/>
      </w:rPr>
    </w:lvl>
    <w:lvl w:ilvl="8" w:tplc="FA0A09F0">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ECEA6854">
      <w:start w:val="1"/>
      <w:numFmt w:val="bullet"/>
      <w:lvlText w:val=""/>
      <w:lvlJc w:val="left"/>
      <w:pPr>
        <w:ind w:left="1440" w:hanging="360"/>
      </w:pPr>
      <w:rPr>
        <w:rFonts w:ascii="Symbol" w:hAnsi="Symbol"/>
      </w:rPr>
    </w:lvl>
    <w:lvl w:ilvl="1" w:tplc="C388DCC0">
      <w:start w:val="1"/>
      <w:numFmt w:val="bullet"/>
      <w:lvlText w:val=""/>
      <w:lvlJc w:val="left"/>
      <w:pPr>
        <w:ind w:left="1440" w:hanging="360"/>
      </w:pPr>
      <w:rPr>
        <w:rFonts w:ascii="Symbol" w:hAnsi="Symbol"/>
      </w:rPr>
    </w:lvl>
    <w:lvl w:ilvl="2" w:tplc="5D4CB53E">
      <w:start w:val="1"/>
      <w:numFmt w:val="bullet"/>
      <w:lvlText w:val=""/>
      <w:lvlJc w:val="left"/>
      <w:pPr>
        <w:ind w:left="1440" w:hanging="360"/>
      </w:pPr>
      <w:rPr>
        <w:rFonts w:ascii="Symbol" w:hAnsi="Symbol"/>
      </w:rPr>
    </w:lvl>
    <w:lvl w:ilvl="3" w:tplc="BDD08998">
      <w:start w:val="1"/>
      <w:numFmt w:val="bullet"/>
      <w:lvlText w:val=""/>
      <w:lvlJc w:val="left"/>
      <w:pPr>
        <w:ind w:left="1440" w:hanging="360"/>
      </w:pPr>
      <w:rPr>
        <w:rFonts w:ascii="Symbol" w:hAnsi="Symbol"/>
      </w:rPr>
    </w:lvl>
    <w:lvl w:ilvl="4" w:tplc="1F38F2B4">
      <w:start w:val="1"/>
      <w:numFmt w:val="bullet"/>
      <w:lvlText w:val=""/>
      <w:lvlJc w:val="left"/>
      <w:pPr>
        <w:ind w:left="1440" w:hanging="360"/>
      </w:pPr>
      <w:rPr>
        <w:rFonts w:ascii="Symbol" w:hAnsi="Symbol"/>
      </w:rPr>
    </w:lvl>
    <w:lvl w:ilvl="5" w:tplc="6250303C">
      <w:start w:val="1"/>
      <w:numFmt w:val="bullet"/>
      <w:lvlText w:val=""/>
      <w:lvlJc w:val="left"/>
      <w:pPr>
        <w:ind w:left="1440" w:hanging="360"/>
      </w:pPr>
      <w:rPr>
        <w:rFonts w:ascii="Symbol" w:hAnsi="Symbol"/>
      </w:rPr>
    </w:lvl>
    <w:lvl w:ilvl="6" w:tplc="DDF47FC2">
      <w:start w:val="1"/>
      <w:numFmt w:val="bullet"/>
      <w:lvlText w:val=""/>
      <w:lvlJc w:val="left"/>
      <w:pPr>
        <w:ind w:left="1440" w:hanging="360"/>
      </w:pPr>
      <w:rPr>
        <w:rFonts w:ascii="Symbol" w:hAnsi="Symbol"/>
      </w:rPr>
    </w:lvl>
    <w:lvl w:ilvl="7" w:tplc="D2E40862">
      <w:start w:val="1"/>
      <w:numFmt w:val="bullet"/>
      <w:lvlText w:val=""/>
      <w:lvlJc w:val="left"/>
      <w:pPr>
        <w:ind w:left="1440" w:hanging="360"/>
      </w:pPr>
      <w:rPr>
        <w:rFonts w:ascii="Symbol" w:hAnsi="Symbol"/>
      </w:rPr>
    </w:lvl>
    <w:lvl w:ilvl="8" w:tplc="034A84B2">
      <w:start w:val="1"/>
      <w:numFmt w:val="bullet"/>
      <w:lvlText w:val=""/>
      <w:lvlJc w:val="left"/>
      <w:pPr>
        <w:ind w:left="1440" w:hanging="360"/>
      </w:pPr>
      <w:rPr>
        <w:rFonts w:ascii="Symbol" w:hAnsi="Symbol"/>
      </w:rPr>
    </w:lvl>
  </w:abstractNum>
  <w:abstractNum w:abstractNumId="2" w15:restartNumberingAfterBreak="0">
    <w:nsid w:val="41EB1017"/>
    <w:multiLevelType w:val="hybridMultilevel"/>
    <w:tmpl w:val="DE54D77E"/>
    <w:lvl w:ilvl="0" w:tplc="AD24EBF0">
      <w:start w:val="1"/>
      <w:numFmt w:val="bullet"/>
      <w:lvlText w:val=""/>
      <w:lvlJc w:val="left"/>
      <w:pPr>
        <w:ind w:left="1440" w:hanging="360"/>
      </w:pPr>
      <w:rPr>
        <w:rFonts w:ascii="Symbol" w:hAnsi="Symbol"/>
      </w:rPr>
    </w:lvl>
    <w:lvl w:ilvl="1" w:tplc="F3440EC8">
      <w:start w:val="1"/>
      <w:numFmt w:val="bullet"/>
      <w:lvlText w:val=""/>
      <w:lvlJc w:val="left"/>
      <w:pPr>
        <w:ind w:left="1440" w:hanging="360"/>
      </w:pPr>
      <w:rPr>
        <w:rFonts w:ascii="Symbol" w:hAnsi="Symbol"/>
      </w:rPr>
    </w:lvl>
    <w:lvl w:ilvl="2" w:tplc="6834F218">
      <w:start w:val="1"/>
      <w:numFmt w:val="bullet"/>
      <w:lvlText w:val=""/>
      <w:lvlJc w:val="left"/>
      <w:pPr>
        <w:ind w:left="1440" w:hanging="360"/>
      </w:pPr>
      <w:rPr>
        <w:rFonts w:ascii="Symbol" w:hAnsi="Symbol"/>
      </w:rPr>
    </w:lvl>
    <w:lvl w:ilvl="3" w:tplc="468CCC16">
      <w:start w:val="1"/>
      <w:numFmt w:val="bullet"/>
      <w:lvlText w:val=""/>
      <w:lvlJc w:val="left"/>
      <w:pPr>
        <w:ind w:left="1440" w:hanging="360"/>
      </w:pPr>
      <w:rPr>
        <w:rFonts w:ascii="Symbol" w:hAnsi="Symbol"/>
      </w:rPr>
    </w:lvl>
    <w:lvl w:ilvl="4" w:tplc="EFF0809C">
      <w:start w:val="1"/>
      <w:numFmt w:val="bullet"/>
      <w:lvlText w:val=""/>
      <w:lvlJc w:val="left"/>
      <w:pPr>
        <w:ind w:left="1440" w:hanging="360"/>
      </w:pPr>
      <w:rPr>
        <w:rFonts w:ascii="Symbol" w:hAnsi="Symbol"/>
      </w:rPr>
    </w:lvl>
    <w:lvl w:ilvl="5" w:tplc="692EA27C">
      <w:start w:val="1"/>
      <w:numFmt w:val="bullet"/>
      <w:lvlText w:val=""/>
      <w:lvlJc w:val="left"/>
      <w:pPr>
        <w:ind w:left="1440" w:hanging="360"/>
      </w:pPr>
      <w:rPr>
        <w:rFonts w:ascii="Symbol" w:hAnsi="Symbol"/>
      </w:rPr>
    </w:lvl>
    <w:lvl w:ilvl="6" w:tplc="F91C5282">
      <w:start w:val="1"/>
      <w:numFmt w:val="bullet"/>
      <w:lvlText w:val=""/>
      <w:lvlJc w:val="left"/>
      <w:pPr>
        <w:ind w:left="1440" w:hanging="360"/>
      </w:pPr>
      <w:rPr>
        <w:rFonts w:ascii="Symbol" w:hAnsi="Symbol"/>
      </w:rPr>
    </w:lvl>
    <w:lvl w:ilvl="7" w:tplc="C4800FFA">
      <w:start w:val="1"/>
      <w:numFmt w:val="bullet"/>
      <w:lvlText w:val=""/>
      <w:lvlJc w:val="left"/>
      <w:pPr>
        <w:ind w:left="1440" w:hanging="360"/>
      </w:pPr>
      <w:rPr>
        <w:rFonts w:ascii="Symbol" w:hAnsi="Symbol"/>
      </w:rPr>
    </w:lvl>
    <w:lvl w:ilvl="8" w:tplc="3382657E">
      <w:start w:val="1"/>
      <w:numFmt w:val="bullet"/>
      <w:lvlText w:val=""/>
      <w:lvlJc w:val="left"/>
      <w:pPr>
        <w:ind w:left="1440" w:hanging="360"/>
      </w:pPr>
      <w:rPr>
        <w:rFonts w:ascii="Symbol" w:hAnsi="Symbol"/>
      </w:rPr>
    </w:lvl>
  </w:abstractNum>
  <w:abstractNum w:abstractNumId="3" w15:restartNumberingAfterBreak="0">
    <w:nsid w:val="539007E5"/>
    <w:multiLevelType w:val="hybridMultilevel"/>
    <w:tmpl w:val="02D027EE"/>
    <w:lvl w:ilvl="0" w:tplc="5BE48C2C">
      <w:start w:val="1"/>
      <w:numFmt w:val="bullet"/>
      <w:lvlText w:val=""/>
      <w:lvlJc w:val="left"/>
      <w:pPr>
        <w:ind w:left="1440" w:hanging="360"/>
      </w:pPr>
      <w:rPr>
        <w:rFonts w:ascii="Symbol" w:hAnsi="Symbol"/>
      </w:rPr>
    </w:lvl>
    <w:lvl w:ilvl="1" w:tplc="EA6A714E">
      <w:start w:val="1"/>
      <w:numFmt w:val="bullet"/>
      <w:lvlText w:val=""/>
      <w:lvlJc w:val="left"/>
      <w:pPr>
        <w:ind w:left="1440" w:hanging="360"/>
      </w:pPr>
      <w:rPr>
        <w:rFonts w:ascii="Symbol" w:hAnsi="Symbol"/>
      </w:rPr>
    </w:lvl>
    <w:lvl w:ilvl="2" w:tplc="4A1C6A64">
      <w:start w:val="1"/>
      <w:numFmt w:val="bullet"/>
      <w:lvlText w:val=""/>
      <w:lvlJc w:val="left"/>
      <w:pPr>
        <w:ind w:left="1440" w:hanging="360"/>
      </w:pPr>
      <w:rPr>
        <w:rFonts w:ascii="Symbol" w:hAnsi="Symbol"/>
      </w:rPr>
    </w:lvl>
    <w:lvl w:ilvl="3" w:tplc="E9FE5BDA">
      <w:start w:val="1"/>
      <w:numFmt w:val="bullet"/>
      <w:lvlText w:val=""/>
      <w:lvlJc w:val="left"/>
      <w:pPr>
        <w:ind w:left="1440" w:hanging="360"/>
      </w:pPr>
      <w:rPr>
        <w:rFonts w:ascii="Symbol" w:hAnsi="Symbol"/>
      </w:rPr>
    </w:lvl>
    <w:lvl w:ilvl="4" w:tplc="0FA8DFEE">
      <w:start w:val="1"/>
      <w:numFmt w:val="bullet"/>
      <w:lvlText w:val=""/>
      <w:lvlJc w:val="left"/>
      <w:pPr>
        <w:ind w:left="1440" w:hanging="360"/>
      </w:pPr>
      <w:rPr>
        <w:rFonts w:ascii="Symbol" w:hAnsi="Symbol"/>
      </w:rPr>
    </w:lvl>
    <w:lvl w:ilvl="5" w:tplc="699887EE">
      <w:start w:val="1"/>
      <w:numFmt w:val="bullet"/>
      <w:lvlText w:val=""/>
      <w:lvlJc w:val="left"/>
      <w:pPr>
        <w:ind w:left="1440" w:hanging="360"/>
      </w:pPr>
      <w:rPr>
        <w:rFonts w:ascii="Symbol" w:hAnsi="Symbol"/>
      </w:rPr>
    </w:lvl>
    <w:lvl w:ilvl="6" w:tplc="57189B96">
      <w:start w:val="1"/>
      <w:numFmt w:val="bullet"/>
      <w:lvlText w:val=""/>
      <w:lvlJc w:val="left"/>
      <w:pPr>
        <w:ind w:left="1440" w:hanging="360"/>
      </w:pPr>
      <w:rPr>
        <w:rFonts w:ascii="Symbol" w:hAnsi="Symbol"/>
      </w:rPr>
    </w:lvl>
    <w:lvl w:ilvl="7" w:tplc="60ECDA1C">
      <w:start w:val="1"/>
      <w:numFmt w:val="bullet"/>
      <w:lvlText w:val=""/>
      <w:lvlJc w:val="left"/>
      <w:pPr>
        <w:ind w:left="1440" w:hanging="360"/>
      </w:pPr>
      <w:rPr>
        <w:rFonts w:ascii="Symbol" w:hAnsi="Symbol"/>
      </w:rPr>
    </w:lvl>
    <w:lvl w:ilvl="8" w:tplc="E60602D2">
      <w:start w:val="1"/>
      <w:numFmt w:val="bullet"/>
      <w:lvlText w:val=""/>
      <w:lvlJc w:val="left"/>
      <w:pPr>
        <w:ind w:left="1440" w:hanging="360"/>
      </w:pPr>
      <w:rPr>
        <w:rFonts w:ascii="Symbol" w:hAnsi="Symbol"/>
      </w:rPr>
    </w:lvl>
  </w:abstractNum>
  <w:abstractNum w:abstractNumId="4" w15:restartNumberingAfterBreak="0">
    <w:nsid w:val="75DA0493"/>
    <w:multiLevelType w:val="hybridMultilevel"/>
    <w:tmpl w:val="3E4AF70E"/>
    <w:lvl w:ilvl="0" w:tplc="A0AED72A">
      <w:start w:val="1"/>
      <w:numFmt w:val="bullet"/>
      <w:lvlText w:val=""/>
      <w:lvlJc w:val="left"/>
      <w:pPr>
        <w:ind w:left="1440" w:hanging="360"/>
      </w:pPr>
      <w:rPr>
        <w:rFonts w:ascii="Symbol" w:hAnsi="Symbol"/>
      </w:rPr>
    </w:lvl>
    <w:lvl w:ilvl="1" w:tplc="12D25D0C">
      <w:start w:val="1"/>
      <w:numFmt w:val="bullet"/>
      <w:lvlText w:val=""/>
      <w:lvlJc w:val="left"/>
      <w:pPr>
        <w:ind w:left="1440" w:hanging="360"/>
      </w:pPr>
      <w:rPr>
        <w:rFonts w:ascii="Symbol" w:hAnsi="Symbol"/>
      </w:rPr>
    </w:lvl>
    <w:lvl w:ilvl="2" w:tplc="1038797C">
      <w:start w:val="1"/>
      <w:numFmt w:val="bullet"/>
      <w:lvlText w:val=""/>
      <w:lvlJc w:val="left"/>
      <w:pPr>
        <w:ind w:left="1440" w:hanging="360"/>
      </w:pPr>
      <w:rPr>
        <w:rFonts w:ascii="Symbol" w:hAnsi="Symbol"/>
      </w:rPr>
    </w:lvl>
    <w:lvl w:ilvl="3" w:tplc="0652E6E8">
      <w:start w:val="1"/>
      <w:numFmt w:val="bullet"/>
      <w:lvlText w:val=""/>
      <w:lvlJc w:val="left"/>
      <w:pPr>
        <w:ind w:left="1440" w:hanging="360"/>
      </w:pPr>
      <w:rPr>
        <w:rFonts w:ascii="Symbol" w:hAnsi="Symbol"/>
      </w:rPr>
    </w:lvl>
    <w:lvl w:ilvl="4" w:tplc="ED486836">
      <w:start w:val="1"/>
      <w:numFmt w:val="bullet"/>
      <w:lvlText w:val=""/>
      <w:lvlJc w:val="left"/>
      <w:pPr>
        <w:ind w:left="1440" w:hanging="360"/>
      </w:pPr>
      <w:rPr>
        <w:rFonts w:ascii="Symbol" w:hAnsi="Symbol"/>
      </w:rPr>
    </w:lvl>
    <w:lvl w:ilvl="5" w:tplc="7B2A63F0">
      <w:start w:val="1"/>
      <w:numFmt w:val="bullet"/>
      <w:lvlText w:val=""/>
      <w:lvlJc w:val="left"/>
      <w:pPr>
        <w:ind w:left="1440" w:hanging="360"/>
      </w:pPr>
      <w:rPr>
        <w:rFonts w:ascii="Symbol" w:hAnsi="Symbol"/>
      </w:rPr>
    </w:lvl>
    <w:lvl w:ilvl="6" w:tplc="7CC4EC34">
      <w:start w:val="1"/>
      <w:numFmt w:val="bullet"/>
      <w:lvlText w:val=""/>
      <w:lvlJc w:val="left"/>
      <w:pPr>
        <w:ind w:left="1440" w:hanging="360"/>
      </w:pPr>
      <w:rPr>
        <w:rFonts w:ascii="Symbol" w:hAnsi="Symbol"/>
      </w:rPr>
    </w:lvl>
    <w:lvl w:ilvl="7" w:tplc="327073DE">
      <w:start w:val="1"/>
      <w:numFmt w:val="bullet"/>
      <w:lvlText w:val=""/>
      <w:lvlJc w:val="left"/>
      <w:pPr>
        <w:ind w:left="1440" w:hanging="360"/>
      </w:pPr>
      <w:rPr>
        <w:rFonts w:ascii="Symbol" w:hAnsi="Symbol"/>
      </w:rPr>
    </w:lvl>
    <w:lvl w:ilvl="8" w:tplc="A472455C">
      <w:start w:val="1"/>
      <w:numFmt w:val="bullet"/>
      <w:lvlText w:val=""/>
      <w:lvlJc w:val="left"/>
      <w:pPr>
        <w:ind w:left="1440" w:hanging="360"/>
      </w:pPr>
      <w:rPr>
        <w:rFonts w:ascii="Symbol" w:hAnsi="Symbol"/>
      </w:rPr>
    </w:lvl>
  </w:abstractNum>
  <w:num w:numId="1">
    <w:abstractNumId w:val="0"/>
  </w:num>
  <w:num w:numId="2">
    <w:abstractNumId w:val="2"/>
  </w:num>
  <w:num w:numId="3">
    <w:abstractNumId w:val="4"/>
  </w:num>
  <w:num w:numId="4">
    <w:abstractNumId w:val="1"/>
  </w:num>
  <w:num w:numId="5">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1797"/>
    <w:rsid w:val="000122EA"/>
    <w:rsid w:val="00012BD5"/>
    <w:rsid w:val="00020B1E"/>
    <w:rsid w:val="00020EB1"/>
    <w:rsid w:val="00022157"/>
    <w:rsid w:val="00027A61"/>
    <w:rsid w:val="00033AF3"/>
    <w:rsid w:val="00034F03"/>
    <w:rsid w:val="00046DE0"/>
    <w:rsid w:val="000573E5"/>
    <w:rsid w:val="00057A9D"/>
    <w:rsid w:val="00065AB1"/>
    <w:rsid w:val="00076FCE"/>
    <w:rsid w:val="000A0BA0"/>
    <w:rsid w:val="000A655B"/>
    <w:rsid w:val="000B08DA"/>
    <w:rsid w:val="000B6BB1"/>
    <w:rsid w:val="000C1D1B"/>
    <w:rsid w:val="000C3136"/>
    <w:rsid w:val="000C6772"/>
    <w:rsid w:val="000D5BFC"/>
    <w:rsid w:val="000D7791"/>
    <w:rsid w:val="000E084C"/>
    <w:rsid w:val="000E1C10"/>
    <w:rsid w:val="000E55AE"/>
    <w:rsid w:val="000E5B4C"/>
    <w:rsid w:val="000F2FF6"/>
    <w:rsid w:val="00103341"/>
    <w:rsid w:val="00105788"/>
    <w:rsid w:val="00123F65"/>
    <w:rsid w:val="00131FFA"/>
    <w:rsid w:val="00132485"/>
    <w:rsid w:val="0013416B"/>
    <w:rsid w:val="00147930"/>
    <w:rsid w:val="0016419C"/>
    <w:rsid w:val="00166B37"/>
    <w:rsid w:val="0018796B"/>
    <w:rsid w:val="001939ED"/>
    <w:rsid w:val="001B6E66"/>
    <w:rsid w:val="001B70BE"/>
    <w:rsid w:val="001B75C6"/>
    <w:rsid w:val="001E1CF7"/>
    <w:rsid w:val="001F14E5"/>
    <w:rsid w:val="00216462"/>
    <w:rsid w:val="00221135"/>
    <w:rsid w:val="00222267"/>
    <w:rsid w:val="00226023"/>
    <w:rsid w:val="002264EA"/>
    <w:rsid w:val="0023133C"/>
    <w:rsid w:val="00231CDC"/>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1BE0"/>
    <w:rsid w:val="002C7048"/>
    <w:rsid w:val="002D23F5"/>
    <w:rsid w:val="002D28E4"/>
    <w:rsid w:val="002D4502"/>
    <w:rsid w:val="00307169"/>
    <w:rsid w:val="00314F7D"/>
    <w:rsid w:val="0031574B"/>
    <w:rsid w:val="003161AB"/>
    <w:rsid w:val="003179CF"/>
    <w:rsid w:val="003456B4"/>
    <w:rsid w:val="00350C00"/>
    <w:rsid w:val="003618BC"/>
    <w:rsid w:val="00363F18"/>
    <w:rsid w:val="00387700"/>
    <w:rsid w:val="003902B2"/>
    <w:rsid w:val="003A0342"/>
    <w:rsid w:val="003A2D40"/>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5113D"/>
    <w:rsid w:val="00467388"/>
    <w:rsid w:val="00471698"/>
    <w:rsid w:val="004722FD"/>
    <w:rsid w:val="004815A9"/>
    <w:rsid w:val="00484385"/>
    <w:rsid w:val="0049137E"/>
    <w:rsid w:val="00493E4E"/>
    <w:rsid w:val="0049748D"/>
    <w:rsid w:val="004A1916"/>
    <w:rsid w:val="004B604E"/>
    <w:rsid w:val="004D0724"/>
    <w:rsid w:val="004E015C"/>
    <w:rsid w:val="004E7C70"/>
    <w:rsid w:val="004F0F9D"/>
    <w:rsid w:val="004F1D64"/>
    <w:rsid w:val="00505759"/>
    <w:rsid w:val="00523505"/>
    <w:rsid w:val="00535EB6"/>
    <w:rsid w:val="00536FE2"/>
    <w:rsid w:val="00540045"/>
    <w:rsid w:val="00540244"/>
    <w:rsid w:val="0054598E"/>
    <w:rsid w:val="00545D23"/>
    <w:rsid w:val="00552A74"/>
    <w:rsid w:val="00566B83"/>
    <w:rsid w:val="005676D2"/>
    <w:rsid w:val="005710E8"/>
    <w:rsid w:val="0057412A"/>
    <w:rsid w:val="0058253E"/>
    <w:rsid w:val="005855F0"/>
    <w:rsid w:val="005A13EF"/>
    <w:rsid w:val="005B2BAD"/>
    <w:rsid w:val="005B33FB"/>
    <w:rsid w:val="005E2785"/>
    <w:rsid w:val="005E3C63"/>
    <w:rsid w:val="006026D6"/>
    <w:rsid w:val="00604228"/>
    <w:rsid w:val="00616B8D"/>
    <w:rsid w:val="006241DE"/>
    <w:rsid w:val="00633CAD"/>
    <w:rsid w:val="00641AD8"/>
    <w:rsid w:val="00642B75"/>
    <w:rsid w:val="00652BF1"/>
    <w:rsid w:val="00657389"/>
    <w:rsid w:val="0066139E"/>
    <w:rsid w:val="00664077"/>
    <w:rsid w:val="00673621"/>
    <w:rsid w:val="006811F4"/>
    <w:rsid w:val="00696BE5"/>
    <w:rsid w:val="006A5D67"/>
    <w:rsid w:val="006A698F"/>
    <w:rsid w:val="006B152A"/>
    <w:rsid w:val="006C1E26"/>
    <w:rsid w:val="006C6DCE"/>
    <w:rsid w:val="006D7879"/>
    <w:rsid w:val="006F08FC"/>
    <w:rsid w:val="006F55B9"/>
    <w:rsid w:val="00700DD9"/>
    <w:rsid w:val="00701D02"/>
    <w:rsid w:val="00710E0D"/>
    <w:rsid w:val="0071436A"/>
    <w:rsid w:val="00714D37"/>
    <w:rsid w:val="00726822"/>
    <w:rsid w:val="00732920"/>
    <w:rsid w:val="007364B0"/>
    <w:rsid w:val="0076139D"/>
    <w:rsid w:val="007616FE"/>
    <w:rsid w:val="00761B79"/>
    <w:rsid w:val="00765A75"/>
    <w:rsid w:val="00765F4E"/>
    <w:rsid w:val="00774199"/>
    <w:rsid w:val="00777BF2"/>
    <w:rsid w:val="0078718F"/>
    <w:rsid w:val="00793455"/>
    <w:rsid w:val="007B054A"/>
    <w:rsid w:val="007B2F67"/>
    <w:rsid w:val="007B3A1C"/>
    <w:rsid w:val="007C23F6"/>
    <w:rsid w:val="007C41C1"/>
    <w:rsid w:val="007C62B4"/>
    <w:rsid w:val="007D6943"/>
    <w:rsid w:val="007E7280"/>
    <w:rsid w:val="007F69A9"/>
    <w:rsid w:val="00804671"/>
    <w:rsid w:val="00807121"/>
    <w:rsid w:val="00807C5C"/>
    <w:rsid w:val="00823B7F"/>
    <w:rsid w:val="00830645"/>
    <w:rsid w:val="0084260E"/>
    <w:rsid w:val="00854A27"/>
    <w:rsid w:val="00867A39"/>
    <w:rsid w:val="00870708"/>
    <w:rsid w:val="008707A1"/>
    <w:rsid w:val="0088042D"/>
    <w:rsid w:val="0088102F"/>
    <w:rsid w:val="008A4738"/>
    <w:rsid w:val="008A5874"/>
    <w:rsid w:val="008C479B"/>
    <w:rsid w:val="008D2A08"/>
    <w:rsid w:val="008D5680"/>
    <w:rsid w:val="008E4E88"/>
    <w:rsid w:val="008F02ED"/>
    <w:rsid w:val="008F7DA5"/>
    <w:rsid w:val="00902BC6"/>
    <w:rsid w:val="0090455A"/>
    <w:rsid w:val="009045C6"/>
    <w:rsid w:val="00905800"/>
    <w:rsid w:val="00906FFC"/>
    <w:rsid w:val="0091195F"/>
    <w:rsid w:val="009230D0"/>
    <w:rsid w:val="009349EF"/>
    <w:rsid w:val="00935F34"/>
    <w:rsid w:val="00936976"/>
    <w:rsid w:val="009373ED"/>
    <w:rsid w:val="00937762"/>
    <w:rsid w:val="00950D48"/>
    <w:rsid w:val="00950F1B"/>
    <w:rsid w:val="00954058"/>
    <w:rsid w:val="0096457E"/>
    <w:rsid w:val="00983C92"/>
    <w:rsid w:val="00992260"/>
    <w:rsid w:val="00995A0D"/>
    <w:rsid w:val="009A6630"/>
    <w:rsid w:val="009B0999"/>
    <w:rsid w:val="009B3394"/>
    <w:rsid w:val="009C0038"/>
    <w:rsid w:val="009E158B"/>
    <w:rsid w:val="009F0D32"/>
    <w:rsid w:val="00A00247"/>
    <w:rsid w:val="00A15BC8"/>
    <w:rsid w:val="00A27C32"/>
    <w:rsid w:val="00A3041E"/>
    <w:rsid w:val="00A331E4"/>
    <w:rsid w:val="00A3636D"/>
    <w:rsid w:val="00A53CAF"/>
    <w:rsid w:val="00A6749A"/>
    <w:rsid w:val="00A7018C"/>
    <w:rsid w:val="00A8036E"/>
    <w:rsid w:val="00A804FB"/>
    <w:rsid w:val="00A825A4"/>
    <w:rsid w:val="00A925F0"/>
    <w:rsid w:val="00AC7878"/>
    <w:rsid w:val="00AD541B"/>
    <w:rsid w:val="00AD7067"/>
    <w:rsid w:val="00AE7164"/>
    <w:rsid w:val="00AF2C83"/>
    <w:rsid w:val="00AF55EB"/>
    <w:rsid w:val="00B00511"/>
    <w:rsid w:val="00B02CED"/>
    <w:rsid w:val="00B0538E"/>
    <w:rsid w:val="00B06EE3"/>
    <w:rsid w:val="00B07DB8"/>
    <w:rsid w:val="00B159EC"/>
    <w:rsid w:val="00B23D7D"/>
    <w:rsid w:val="00B36757"/>
    <w:rsid w:val="00B77F61"/>
    <w:rsid w:val="00BA0462"/>
    <w:rsid w:val="00BA056D"/>
    <w:rsid w:val="00BA2BBF"/>
    <w:rsid w:val="00BA2D59"/>
    <w:rsid w:val="00BA479F"/>
    <w:rsid w:val="00BC00B6"/>
    <w:rsid w:val="00BC16F1"/>
    <w:rsid w:val="00BC268C"/>
    <w:rsid w:val="00BC765F"/>
    <w:rsid w:val="00BD3BA1"/>
    <w:rsid w:val="00BD3F97"/>
    <w:rsid w:val="00BE20F1"/>
    <w:rsid w:val="00BE3A4E"/>
    <w:rsid w:val="00BE6211"/>
    <w:rsid w:val="00C04433"/>
    <w:rsid w:val="00C06975"/>
    <w:rsid w:val="00C12A06"/>
    <w:rsid w:val="00C17FAD"/>
    <w:rsid w:val="00C25464"/>
    <w:rsid w:val="00C25FCC"/>
    <w:rsid w:val="00C2765B"/>
    <w:rsid w:val="00C35A1E"/>
    <w:rsid w:val="00C43C44"/>
    <w:rsid w:val="00C45A4E"/>
    <w:rsid w:val="00C51A11"/>
    <w:rsid w:val="00C5287E"/>
    <w:rsid w:val="00C55078"/>
    <w:rsid w:val="00C56C0A"/>
    <w:rsid w:val="00C7376C"/>
    <w:rsid w:val="00C81BE2"/>
    <w:rsid w:val="00C85550"/>
    <w:rsid w:val="00C91E76"/>
    <w:rsid w:val="00CB30D9"/>
    <w:rsid w:val="00CE3DF1"/>
    <w:rsid w:val="00CF138C"/>
    <w:rsid w:val="00D00796"/>
    <w:rsid w:val="00D01E50"/>
    <w:rsid w:val="00D0411E"/>
    <w:rsid w:val="00D0464C"/>
    <w:rsid w:val="00D0475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5DFA"/>
    <w:rsid w:val="00DA6584"/>
    <w:rsid w:val="00DA7114"/>
    <w:rsid w:val="00DB6C39"/>
    <w:rsid w:val="00DB728F"/>
    <w:rsid w:val="00DC60FA"/>
    <w:rsid w:val="00DC6820"/>
    <w:rsid w:val="00DD41AC"/>
    <w:rsid w:val="00DE4FD7"/>
    <w:rsid w:val="00E04E00"/>
    <w:rsid w:val="00E133DA"/>
    <w:rsid w:val="00E228FC"/>
    <w:rsid w:val="00E22976"/>
    <w:rsid w:val="00E31507"/>
    <w:rsid w:val="00E32257"/>
    <w:rsid w:val="00E323AF"/>
    <w:rsid w:val="00E35847"/>
    <w:rsid w:val="00E36F51"/>
    <w:rsid w:val="00E436CB"/>
    <w:rsid w:val="00E454F8"/>
    <w:rsid w:val="00E67E2C"/>
    <w:rsid w:val="00E812A9"/>
    <w:rsid w:val="00E82225"/>
    <w:rsid w:val="00EA2B7F"/>
    <w:rsid w:val="00EC05B5"/>
    <w:rsid w:val="00EC0D60"/>
    <w:rsid w:val="00EC4C24"/>
    <w:rsid w:val="00EC6315"/>
    <w:rsid w:val="00ED0276"/>
    <w:rsid w:val="00ED1113"/>
    <w:rsid w:val="00ED77B9"/>
    <w:rsid w:val="00EE4AC1"/>
    <w:rsid w:val="00F02247"/>
    <w:rsid w:val="00F0256E"/>
    <w:rsid w:val="00F10929"/>
    <w:rsid w:val="00F11B29"/>
    <w:rsid w:val="00F164D8"/>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mesago.com/events/de.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11</cp:revision>
  <cp:lastPrinted>2025-02-17T09:34:00Z</cp:lastPrinted>
  <dcterms:created xsi:type="dcterms:W3CDTF">2025-02-12T12:43:00Z</dcterms:created>
  <dcterms:modified xsi:type="dcterms:W3CDTF">2025-02-17T09:35:00Z</dcterms:modified>
</cp:coreProperties>
</file>