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C7D61" w:rsidRPr="00FB68B3" w14:paraId="2E5D305E" w14:textId="77777777" w:rsidTr="009A6630">
        <w:trPr>
          <w:trHeight w:val="425"/>
        </w:trPr>
        <w:tc>
          <w:tcPr>
            <w:tcW w:w="5000" w:type="pct"/>
          </w:tcPr>
          <w:p w14:paraId="0388B38F" w14:textId="77777777" w:rsidR="003902B2" w:rsidRPr="00D0475A" w:rsidRDefault="00726A9F" w:rsidP="003902B2">
            <w:pPr>
              <w:pStyle w:val="Continuoustext"/>
            </w:pPr>
            <w:r>
              <w:rPr>
                <w:lang w:val="fr-FR"/>
              </w:rPr>
              <w:t xml:space="preserve">News +++ PCIM </w:t>
            </w:r>
            <w:r>
              <w:rPr>
                <w:lang w:val="fr-FR"/>
              </w:rPr>
              <w:br/>
              <w:t>Nuremberg, du 06 au 08 mai 2025</w:t>
            </w:r>
            <w:r>
              <w:rPr>
                <w:lang w:val="fr-FR"/>
              </w:rPr>
              <w:br/>
            </w:r>
          </w:p>
        </w:tc>
      </w:tr>
      <w:tr w:rsidR="007C7D61" w14:paraId="774C9BDD" w14:textId="77777777" w:rsidTr="009A6630">
        <w:trPr>
          <w:trHeight w:val="425"/>
        </w:trPr>
        <w:tc>
          <w:tcPr>
            <w:tcW w:w="5000" w:type="pct"/>
          </w:tcPr>
          <w:p w14:paraId="48156190" w14:textId="77777777" w:rsidR="00D51603" w:rsidRPr="007C62B4" w:rsidRDefault="00726A9F" w:rsidP="000A655B">
            <w:pPr>
              <w:pStyle w:val="Productbrand"/>
            </w:pPr>
            <w:bookmarkStart w:id="0" w:name="_Hlk43896002"/>
            <w:r>
              <w:rPr>
                <w:noProof/>
                <w:lang w:val="fr-FR"/>
              </w:rPr>
              <w:drawing>
                <wp:inline distT="0" distB="0" distL="0" distR="0" wp14:anchorId="41D3CF96" wp14:editId="1E69AACE">
                  <wp:extent cx="885139" cy="426110"/>
                  <wp:effectExtent l="0" t="0" r="0" b="0"/>
                  <wp:docPr id="2" name="Grafik 2" descr="Une image contenant la police, le logo, des graphiques, du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093F80BA" w14:textId="1219C19F" w:rsidR="00E61C7B" w:rsidRPr="000F7328" w:rsidRDefault="00E61C7B" w:rsidP="00E61C7B">
      <w:pPr>
        <w:pStyle w:val="berschrift2"/>
        <w:rPr>
          <w:lang w:val="fr-FR"/>
        </w:rPr>
      </w:pPr>
      <w:bookmarkStart w:id="1" w:name="kthema4"/>
      <w:bookmarkStart w:id="2" w:name="VADatum"/>
      <w:bookmarkEnd w:id="1"/>
      <w:bookmarkEnd w:id="0"/>
      <w:bookmarkEnd w:id="2"/>
      <w:r w:rsidRPr="00772632">
        <w:rPr>
          <w:lang w:val="fr-FR"/>
        </w:rPr>
        <w:t xml:space="preserve">PCIM Expo &amp; </w:t>
      </w:r>
      <w:proofErr w:type="spellStart"/>
      <w:r w:rsidRPr="00772632">
        <w:rPr>
          <w:lang w:val="fr-FR"/>
        </w:rPr>
        <w:t>Conference</w:t>
      </w:r>
      <w:proofErr w:type="spellEnd"/>
      <w:r w:rsidRPr="00772632">
        <w:rPr>
          <w:lang w:val="fr-FR"/>
        </w:rPr>
        <w:t xml:space="preserve"> 2025 : </w:t>
      </w:r>
      <w:r>
        <w:rPr>
          <w:lang w:val="fr-FR"/>
        </w:rPr>
        <w:t>l</w:t>
      </w:r>
      <w:r w:rsidRPr="00772632">
        <w:rPr>
          <w:lang w:val="fr-FR"/>
        </w:rPr>
        <w:t>a diversité des programmes o</w:t>
      </w:r>
      <w:r>
        <w:rPr>
          <w:lang w:val="fr-FR"/>
        </w:rPr>
        <w:t>uvre</w:t>
      </w:r>
      <w:r w:rsidRPr="00772632">
        <w:rPr>
          <w:lang w:val="fr-FR"/>
        </w:rPr>
        <w:t xml:space="preserve"> des perspectives</w:t>
      </w:r>
    </w:p>
    <w:p w14:paraId="643A1F55" w14:textId="77777777" w:rsidR="00E61C7B" w:rsidRPr="000F7328" w:rsidRDefault="00E61C7B" w:rsidP="00E61C7B">
      <w:pPr>
        <w:pStyle w:val="Continuoustext"/>
        <w:rPr>
          <w:b/>
          <w:bCs/>
          <w:lang w:val="fr-FR"/>
        </w:rPr>
      </w:pPr>
      <w:r w:rsidRPr="00772632">
        <w:rPr>
          <w:b/>
          <w:bCs/>
          <w:lang w:val="fr-FR"/>
        </w:rPr>
        <w:t xml:space="preserve">Stuttgart, le 14 avril 2025. Du 6 au 8 mai 2025, Nuremberg se transformera à nouveau en plaque tournante de l’électronique de puissance : Le salon PCIM Expo &amp; </w:t>
      </w:r>
      <w:proofErr w:type="spellStart"/>
      <w:r w:rsidRPr="00772632">
        <w:rPr>
          <w:b/>
          <w:bCs/>
          <w:lang w:val="fr-FR"/>
        </w:rPr>
        <w:t>Conference</w:t>
      </w:r>
      <w:proofErr w:type="spellEnd"/>
      <w:r w:rsidRPr="00772632">
        <w:rPr>
          <w:b/>
          <w:bCs/>
          <w:lang w:val="fr-FR"/>
        </w:rPr>
        <w:t xml:space="preserve"> réunit des experts du monde entier pour promouvoir ensemble des évolutions prometteuses dans ce secteur dynamique. Le salon professionnel et la conférence offrent un aperçu unique des produits, solutions et tendances innovants qui contribuent de manière décisive à façonner l’avenir du secteur.</w:t>
      </w:r>
    </w:p>
    <w:p w14:paraId="24D0EFD3" w14:textId="70CBB403" w:rsidR="00E61C7B" w:rsidRPr="000F7328" w:rsidRDefault="00E61C7B" w:rsidP="00E61C7B">
      <w:pPr>
        <w:rPr>
          <w:rFonts w:cstheme="minorHAnsi"/>
          <w:lang w:val="fr-FR"/>
        </w:rPr>
      </w:pPr>
      <w:r w:rsidRPr="00772632">
        <w:rPr>
          <w:lang w:val="fr-FR"/>
        </w:rPr>
        <w:t xml:space="preserve">Sur </w:t>
      </w:r>
      <w:r w:rsidRPr="00772632">
        <w:rPr>
          <w:color w:val="auto"/>
          <w:lang w:val="fr-FR"/>
        </w:rPr>
        <w:t>une surface d’exposition d’environ 40.000 m²</w:t>
      </w:r>
      <w:r w:rsidRPr="00772632">
        <w:rPr>
          <w:lang w:val="fr-FR"/>
        </w:rPr>
        <w:t>, plus de 650 entreprises de 31</w:t>
      </w:r>
      <w:r w:rsidRPr="00772632">
        <w:rPr>
          <w:color w:val="FF0000"/>
          <w:lang w:val="fr-FR"/>
        </w:rPr>
        <w:t> </w:t>
      </w:r>
      <w:r w:rsidRPr="00772632">
        <w:rPr>
          <w:lang w:val="fr-FR"/>
        </w:rPr>
        <w:t xml:space="preserve">pays dévoilent leurs technologies les plus récentes et les plus abouties au PCIM Expo. Des acteurs de premier plan comme </w:t>
      </w:r>
      <w:proofErr w:type="spellStart"/>
      <w:r w:rsidRPr="00772632">
        <w:rPr>
          <w:lang w:val="fr-FR"/>
        </w:rPr>
        <w:t>Onsemi</w:t>
      </w:r>
      <w:proofErr w:type="spellEnd"/>
      <w:r w:rsidRPr="00772632">
        <w:rPr>
          <w:lang w:val="fr-FR"/>
        </w:rPr>
        <w:t xml:space="preserve">, Fuji Electric Europe et </w:t>
      </w:r>
      <w:proofErr w:type="spellStart"/>
      <w:r w:rsidRPr="00772632">
        <w:rPr>
          <w:lang w:val="fr-FR"/>
        </w:rPr>
        <w:t>Wolfspeed</w:t>
      </w:r>
      <w:proofErr w:type="spellEnd"/>
      <w:r w:rsidRPr="00772632">
        <w:rPr>
          <w:rStyle w:val="Kommentarzeichen"/>
          <w:rFonts w:cstheme="minorHAnsi"/>
          <w:sz w:val="22"/>
          <w:szCs w:val="22"/>
          <w:lang w:val="fr-FR"/>
        </w:rPr>
        <w:t xml:space="preserve"> y seront représentés. </w:t>
      </w:r>
      <w:r w:rsidRPr="00772632">
        <w:rPr>
          <w:lang w:val="fr-FR"/>
        </w:rPr>
        <w:t xml:space="preserve">En outre, de nombreux nouveaux exposants enrichissent encore l’éventail des produits exposés sur le salon professionnel, notamment </w:t>
      </w:r>
      <w:proofErr w:type="spellStart"/>
      <w:r w:rsidRPr="00772632">
        <w:rPr>
          <w:lang w:val="fr-FR"/>
        </w:rPr>
        <w:t>bdtronic</w:t>
      </w:r>
      <w:proofErr w:type="spellEnd"/>
      <w:r w:rsidRPr="00772632">
        <w:rPr>
          <w:lang w:val="fr-FR"/>
        </w:rPr>
        <w:t xml:space="preserve">, </w:t>
      </w:r>
      <w:proofErr w:type="spellStart"/>
      <w:r w:rsidRPr="00772632">
        <w:rPr>
          <w:lang w:val="fr-FR"/>
        </w:rPr>
        <w:t>Infotech</w:t>
      </w:r>
      <w:proofErr w:type="spellEnd"/>
      <w:r w:rsidRPr="00772632">
        <w:rPr>
          <w:lang w:val="fr-FR"/>
        </w:rPr>
        <w:t xml:space="preserve"> et </w:t>
      </w:r>
      <w:proofErr w:type="spellStart"/>
      <w:r w:rsidRPr="00772632">
        <w:rPr>
          <w:lang w:val="fr-FR"/>
        </w:rPr>
        <w:t>Endrich</w:t>
      </w:r>
      <w:proofErr w:type="spellEnd"/>
      <w:r w:rsidRPr="00772632">
        <w:rPr>
          <w:lang w:val="fr-FR"/>
        </w:rPr>
        <w:t xml:space="preserve"> </w:t>
      </w:r>
      <w:proofErr w:type="spellStart"/>
      <w:r w:rsidRPr="00772632">
        <w:rPr>
          <w:lang w:val="fr-FR"/>
        </w:rPr>
        <w:t>Bauelemente</w:t>
      </w:r>
      <w:proofErr w:type="spellEnd"/>
      <w:r w:rsidRPr="00772632">
        <w:rPr>
          <w:lang w:val="fr-FR"/>
        </w:rPr>
        <w:t xml:space="preserve">. Une liste complète de toutes les entreprises exposantes ainsi que des produits et solutions présentés est disponible dans </w:t>
      </w:r>
      <w:r w:rsidR="00FB68B3">
        <w:fldChar w:fldCharType="begin"/>
      </w:r>
      <w:r w:rsidR="00FB68B3" w:rsidRPr="00FB68B3">
        <w:rPr>
          <w:lang w:val="fr-FR"/>
        </w:rPr>
        <w:instrText xml:space="preserve"> HYPERLINK "https://pcim.mesago.com/nuernberg/en/exhibitor-search.html" </w:instrText>
      </w:r>
      <w:r w:rsidR="00FB68B3">
        <w:fldChar w:fldCharType="separate"/>
      </w:r>
      <w:r w:rsidRPr="0048316E">
        <w:rPr>
          <w:rStyle w:val="Hyperlink"/>
          <w:lang w:val="fr-FR"/>
        </w:rPr>
        <w:t>la liste des exposants en ligne</w:t>
      </w:r>
      <w:r w:rsidR="00FB68B3">
        <w:rPr>
          <w:rStyle w:val="Hyperlink"/>
          <w:lang w:val="fr-FR"/>
        </w:rPr>
        <w:fldChar w:fldCharType="end"/>
      </w:r>
      <w:r w:rsidRPr="00772632">
        <w:rPr>
          <w:lang w:val="fr-FR"/>
        </w:rPr>
        <w:t>.</w:t>
      </w:r>
    </w:p>
    <w:p w14:paraId="7E8D335C" w14:textId="77777777" w:rsidR="00E61C7B" w:rsidRPr="000F7328" w:rsidRDefault="00E61C7B" w:rsidP="00E61C7B">
      <w:pPr>
        <w:pStyle w:val="berschrift3"/>
        <w:rPr>
          <w:rFonts w:asciiTheme="minorHAnsi" w:hAnsiTheme="minorHAnsi" w:cstheme="minorHAnsi"/>
          <w:szCs w:val="22"/>
          <w:lang w:val="fr-FR"/>
        </w:rPr>
      </w:pPr>
      <w:r w:rsidRPr="00772632">
        <w:rPr>
          <w:rFonts w:asciiTheme="minorHAnsi" w:hAnsiTheme="minorHAnsi" w:cstheme="minorHAnsi"/>
          <w:bCs/>
          <w:szCs w:val="22"/>
          <w:lang w:val="fr-FR"/>
        </w:rPr>
        <w:t>Le programme d’exposés dévoile les avancées technologiques du secteur</w:t>
      </w:r>
    </w:p>
    <w:p w14:paraId="09F85C18" w14:textId="77777777" w:rsidR="00E61C7B" w:rsidRPr="000F7328" w:rsidRDefault="00E61C7B" w:rsidP="00E61C7B">
      <w:pPr>
        <w:rPr>
          <w:rFonts w:cstheme="minorHAnsi"/>
          <w:lang w:val="fr-FR"/>
        </w:rPr>
      </w:pPr>
      <w:r w:rsidRPr="00772632">
        <w:rPr>
          <w:rFonts w:cstheme="minorHAnsi"/>
          <w:lang w:val="fr-FR"/>
        </w:rPr>
        <w:t xml:space="preserve">Afin d’encourager le développement technique et l’échange au sein du secteur, le salon PCIM Expo propose un vaste programme d’exposés sur trois scènes au total. Les personnes intéressées pourront s’informer sur les dernières évolutions du secteur lors de conférences spécialisées et de tables rondes, avant d’entamer un échange direct avec les experts. Les scènes </w:t>
      </w:r>
      <w:proofErr w:type="spellStart"/>
      <w:r w:rsidRPr="00772632">
        <w:rPr>
          <w:rFonts w:cstheme="minorHAnsi"/>
          <w:lang w:val="fr-FR"/>
        </w:rPr>
        <w:t>Exhibitor</w:t>
      </w:r>
      <w:proofErr w:type="spellEnd"/>
      <w:r w:rsidRPr="00772632">
        <w:rPr>
          <w:rFonts w:cstheme="minorHAnsi"/>
          <w:lang w:val="fr-FR"/>
        </w:rPr>
        <w:t xml:space="preserve">, </w:t>
      </w:r>
      <w:proofErr w:type="spellStart"/>
      <w:r w:rsidRPr="00772632">
        <w:rPr>
          <w:rFonts w:cstheme="minorHAnsi"/>
          <w:lang w:val="fr-FR"/>
        </w:rPr>
        <w:t>Technology</w:t>
      </w:r>
      <w:proofErr w:type="spellEnd"/>
      <w:r w:rsidRPr="00772632">
        <w:rPr>
          <w:rFonts w:cstheme="minorHAnsi"/>
          <w:lang w:val="fr-FR"/>
        </w:rPr>
        <w:t xml:space="preserve"> et E-</w:t>
      </w:r>
      <w:proofErr w:type="spellStart"/>
      <w:r w:rsidRPr="00772632">
        <w:rPr>
          <w:rFonts w:cstheme="minorHAnsi"/>
          <w:lang w:val="fr-FR"/>
        </w:rPr>
        <w:t>Mobility</w:t>
      </w:r>
      <w:proofErr w:type="spellEnd"/>
      <w:r w:rsidRPr="00772632">
        <w:rPr>
          <w:rFonts w:cstheme="minorHAnsi"/>
          <w:lang w:val="fr-FR"/>
        </w:rPr>
        <w:t xml:space="preserve"> &amp; Energy Storage se concentreront sur des solutions innovantes et fiables pour différentes applications. Les temps forts du programme seront les exposés sur la scène </w:t>
      </w:r>
      <w:proofErr w:type="spellStart"/>
      <w:r w:rsidRPr="00772632">
        <w:rPr>
          <w:rFonts w:cstheme="minorHAnsi"/>
          <w:lang w:val="fr-FR"/>
        </w:rPr>
        <w:t>Technology</w:t>
      </w:r>
      <w:proofErr w:type="spellEnd"/>
      <w:r w:rsidRPr="00772632">
        <w:rPr>
          <w:rFonts w:cstheme="minorHAnsi"/>
          <w:lang w:val="fr-FR"/>
        </w:rPr>
        <w:t xml:space="preserve"> tels que « </w:t>
      </w:r>
      <w:proofErr w:type="spellStart"/>
      <w:r w:rsidRPr="00772632">
        <w:rPr>
          <w:rFonts w:cstheme="minorHAnsi"/>
          <w:lang w:val="fr-FR"/>
        </w:rPr>
        <w:t>Lateral</w:t>
      </w:r>
      <w:proofErr w:type="spellEnd"/>
      <w:r w:rsidRPr="00772632">
        <w:rPr>
          <w:rFonts w:cstheme="minorHAnsi"/>
          <w:lang w:val="fr-FR"/>
        </w:rPr>
        <w:t xml:space="preserve">, Vertical, </w:t>
      </w:r>
      <w:proofErr w:type="spellStart"/>
      <w:r w:rsidRPr="00772632">
        <w:rPr>
          <w:rFonts w:cstheme="minorHAnsi"/>
          <w:lang w:val="fr-FR"/>
        </w:rPr>
        <w:t>Bidirectional</w:t>
      </w:r>
      <w:proofErr w:type="spellEnd"/>
      <w:r w:rsidRPr="00772632">
        <w:rPr>
          <w:rFonts w:cstheme="minorHAnsi"/>
          <w:lang w:val="fr-FR"/>
        </w:rPr>
        <w:t xml:space="preserve"> ! Innovations and Progress in </w:t>
      </w:r>
      <w:proofErr w:type="spellStart"/>
      <w:r w:rsidRPr="00772632">
        <w:rPr>
          <w:rFonts w:cstheme="minorHAnsi"/>
          <w:lang w:val="fr-FR"/>
        </w:rPr>
        <w:t>GaN</w:t>
      </w:r>
      <w:proofErr w:type="spellEnd"/>
      <w:r w:rsidRPr="00772632">
        <w:rPr>
          <w:rFonts w:cstheme="minorHAnsi"/>
          <w:lang w:val="fr-FR"/>
        </w:rPr>
        <w:t xml:space="preserve"> </w:t>
      </w:r>
      <w:proofErr w:type="spellStart"/>
      <w:r w:rsidRPr="00772632">
        <w:rPr>
          <w:rFonts w:cstheme="minorHAnsi"/>
          <w:lang w:val="fr-FR"/>
        </w:rPr>
        <w:t>Devices</w:t>
      </w:r>
      <w:proofErr w:type="spellEnd"/>
      <w:r w:rsidRPr="00772632">
        <w:rPr>
          <w:rFonts w:cstheme="minorHAnsi"/>
          <w:lang w:val="fr-FR"/>
        </w:rPr>
        <w:t xml:space="preserve"> and Power </w:t>
      </w:r>
      <w:proofErr w:type="spellStart"/>
      <w:r w:rsidRPr="00772632">
        <w:rPr>
          <w:rFonts w:cstheme="minorHAnsi"/>
          <w:lang w:val="fr-FR"/>
        </w:rPr>
        <w:t>ICs</w:t>
      </w:r>
      <w:proofErr w:type="spellEnd"/>
      <w:r w:rsidRPr="00772632">
        <w:rPr>
          <w:rFonts w:cstheme="minorHAnsi"/>
          <w:lang w:val="fr-FR"/>
        </w:rPr>
        <w:t> » de l’institut Fraunhofer IAF, « </w:t>
      </w:r>
      <w:proofErr w:type="spellStart"/>
      <w:r w:rsidRPr="00772632">
        <w:rPr>
          <w:rFonts w:cstheme="minorHAnsi"/>
          <w:lang w:val="fr-FR"/>
        </w:rPr>
        <w:t>Benefits</w:t>
      </w:r>
      <w:proofErr w:type="spellEnd"/>
      <w:r w:rsidRPr="00772632">
        <w:rPr>
          <w:rFonts w:cstheme="minorHAnsi"/>
          <w:lang w:val="fr-FR"/>
        </w:rPr>
        <w:t xml:space="preserve"> of Vertical Power Delivery </w:t>
      </w:r>
      <w:proofErr w:type="spellStart"/>
      <w:r w:rsidRPr="00772632">
        <w:rPr>
          <w:rFonts w:cstheme="minorHAnsi"/>
          <w:lang w:val="fr-FR"/>
        </w:rPr>
        <w:t>when</w:t>
      </w:r>
      <w:proofErr w:type="spellEnd"/>
      <w:r w:rsidRPr="00772632">
        <w:rPr>
          <w:rFonts w:cstheme="minorHAnsi"/>
          <w:lang w:val="fr-FR"/>
        </w:rPr>
        <w:t xml:space="preserve"> </w:t>
      </w:r>
      <w:proofErr w:type="spellStart"/>
      <w:r w:rsidRPr="00772632">
        <w:rPr>
          <w:rFonts w:cstheme="minorHAnsi"/>
          <w:lang w:val="fr-FR"/>
        </w:rPr>
        <w:t>powering</w:t>
      </w:r>
      <w:proofErr w:type="spellEnd"/>
      <w:r w:rsidRPr="00772632">
        <w:rPr>
          <w:rFonts w:cstheme="minorHAnsi"/>
          <w:lang w:val="fr-FR"/>
        </w:rPr>
        <w:t xml:space="preserve"> AI GPU / </w:t>
      </w:r>
      <w:proofErr w:type="spellStart"/>
      <w:r w:rsidRPr="00772632">
        <w:rPr>
          <w:rFonts w:cstheme="minorHAnsi"/>
          <w:lang w:val="fr-FR"/>
        </w:rPr>
        <w:t>SoC</w:t>
      </w:r>
      <w:proofErr w:type="spellEnd"/>
      <w:r w:rsidRPr="00772632">
        <w:rPr>
          <w:rFonts w:cstheme="minorHAnsi"/>
          <w:lang w:val="fr-FR"/>
        </w:rPr>
        <w:t> » d’</w:t>
      </w:r>
      <w:proofErr w:type="spellStart"/>
      <w:r w:rsidRPr="00772632">
        <w:rPr>
          <w:rFonts w:cstheme="minorHAnsi"/>
          <w:lang w:val="fr-FR"/>
        </w:rPr>
        <w:t>Infineon</w:t>
      </w:r>
      <w:proofErr w:type="spellEnd"/>
      <w:r w:rsidRPr="00772632">
        <w:rPr>
          <w:rFonts w:cstheme="minorHAnsi"/>
          <w:lang w:val="fr-FR"/>
        </w:rPr>
        <w:t xml:space="preserve"> Technologies et « DC-POWER </w:t>
      </w:r>
      <w:proofErr w:type="gramStart"/>
      <w:r w:rsidRPr="00772632">
        <w:rPr>
          <w:rFonts w:cstheme="minorHAnsi"/>
          <w:lang w:val="fr-FR"/>
        </w:rPr>
        <w:t>Project:</w:t>
      </w:r>
      <w:proofErr w:type="gramEnd"/>
      <w:r w:rsidRPr="00772632">
        <w:rPr>
          <w:rFonts w:cstheme="minorHAnsi"/>
          <w:lang w:val="fr-FR"/>
        </w:rPr>
        <w:t xml:space="preserve"> </w:t>
      </w:r>
      <w:proofErr w:type="spellStart"/>
      <w:r w:rsidRPr="00772632">
        <w:rPr>
          <w:rFonts w:cstheme="minorHAnsi"/>
          <w:lang w:val="fr-FR"/>
        </w:rPr>
        <w:t>Testing</w:t>
      </w:r>
      <w:proofErr w:type="spellEnd"/>
      <w:r w:rsidRPr="00772632">
        <w:rPr>
          <w:rFonts w:cstheme="minorHAnsi"/>
          <w:lang w:val="fr-FR"/>
        </w:rPr>
        <w:t xml:space="preserve"> MVDC Distribution Networks at Large </w:t>
      </w:r>
      <w:proofErr w:type="spellStart"/>
      <w:r w:rsidRPr="00772632">
        <w:rPr>
          <w:rFonts w:cstheme="minorHAnsi"/>
          <w:lang w:val="fr-FR"/>
        </w:rPr>
        <w:t>Scale</w:t>
      </w:r>
      <w:proofErr w:type="spellEnd"/>
      <w:r w:rsidRPr="00772632">
        <w:rPr>
          <w:rFonts w:cstheme="minorHAnsi"/>
          <w:lang w:val="fr-FR"/>
        </w:rPr>
        <w:t xml:space="preserve"> » d’ARCEL. Les exposés de la scène </w:t>
      </w:r>
      <w:proofErr w:type="spellStart"/>
      <w:r w:rsidRPr="00772632">
        <w:rPr>
          <w:rFonts w:cstheme="minorHAnsi"/>
          <w:lang w:val="fr-FR"/>
        </w:rPr>
        <w:t>Technology</w:t>
      </w:r>
      <w:proofErr w:type="spellEnd"/>
      <w:r w:rsidRPr="00772632">
        <w:rPr>
          <w:rFonts w:cstheme="minorHAnsi"/>
          <w:lang w:val="fr-FR"/>
        </w:rPr>
        <w:t xml:space="preserve"> seront enregistrés sur place et mis ensuite à disposition gratuitement sur le site web de l’événement à l’attention de toutes les personnes intéressées.</w:t>
      </w:r>
    </w:p>
    <w:p w14:paraId="17F1A803" w14:textId="77777777" w:rsidR="00E61C7B" w:rsidRPr="000F7328" w:rsidRDefault="00E61C7B" w:rsidP="00E61C7B">
      <w:pPr>
        <w:pStyle w:val="berschrift3"/>
        <w:rPr>
          <w:rFonts w:asciiTheme="minorHAnsi" w:hAnsiTheme="minorHAnsi" w:cstheme="minorHAnsi"/>
          <w:szCs w:val="22"/>
          <w:lang w:val="fr-FR"/>
        </w:rPr>
      </w:pPr>
      <w:r w:rsidRPr="00772632">
        <w:rPr>
          <w:rFonts w:asciiTheme="minorHAnsi" w:hAnsiTheme="minorHAnsi" w:cstheme="minorHAnsi"/>
          <w:bCs/>
          <w:szCs w:val="22"/>
          <w:lang w:val="fr-FR"/>
        </w:rPr>
        <w:t>L’</w:t>
      </w:r>
      <w:proofErr w:type="spellStart"/>
      <w:r w:rsidRPr="00772632">
        <w:rPr>
          <w:rFonts w:asciiTheme="minorHAnsi" w:hAnsiTheme="minorHAnsi" w:cstheme="minorHAnsi"/>
          <w:bCs/>
          <w:szCs w:val="22"/>
          <w:lang w:val="fr-FR"/>
        </w:rPr>
        <w:t>University</w:t>
      </w:r>
      <w:proofErr w:type="spellEnd"/>
      <w:r w:rsidRPr="00772632">
        <w:rPr>
          <w:rFonts w:asciiTheme="minorHAnsi" w:hAnsiTheme="minorHAnsi" w:cstheme="minorHAnsi"/>
          <w:bCs/>
          <w:szCs w:val="22"/>
          <w:lang w:val="fr-FR"/>
        </w:rPr>
        <w:t xml:space="preserve"> </w:t>
      </w:r>
      <w:proofErr w:type="spellStart"/>
      <w:r w:rsidRPr="00772632">
        <w:rPr>
          <w:rFonts w:asciiTheme="minorHAnsi" w:hAnsiTheme="minorHAnsi" w:cstheme="minorHAnsi"/>
          <w:bCs/>
          <w:szCs w:val="22"/>
          <w:lang w:val="fr-FR"/>
        </w:rPr>
        <w:t>Research</w:t>
      </w:r>
      <w:proofErr w:type="spellEnd"/>
      <w:r w:rsidRPr="00772632">
        <w:rPr>
          <w:rFonts w:asciiTheme="minorHAnsi" w:hAnsiTheme="minorHAnsi" w:cstheme="minorHAnsi"/>
          <w:bCs/>
          <w:szCs w:val="22"/>
          <w:lang w:val="fr-FR"/>
        </w:rPr>
        <w:t xml:space="preserve"> Zone dévoile les innovations de la recherche </w:t>
      </w:r>
    </w:p>
    <w:p w14:paraId="2CC743C6" w14:textId="77777777" w:rsidR="00E61C7B" w:rsidRPr="000F7328" w:rsidRDefault="00E61C7B" w:rsidP="00E61C7B">
      <w:pPr>
        <w:rPr>
          <w:rFonts w:cstheme="minorHAnsi"/>
          <w:lang w:val="fr-FR"/>
        </w:rPr>
      </w:pPr>
      <w:r w:rsidRPr="00772632">
        <w:rPr>
          <w:rFonts w:cstheme="minorHAnsi"/>
          <w:lang w:val="fr-FR"/>
        </w:rPr>
        <w:t>L’</w:t>
      </w:r>
      <w:proofErr w:type="spellStart"/>
      <w:r w:rsidRPr="00772632">
        <w:rPr>
          <w:rFonts w:cstheme="minorHAnsi"/>
          <w:lang w:val="fr-FR"/>
        </w:rPr>
        <w:t>University</w:t>
      </w:r>
      <w:proofErr w:type="spellEnd"/>
      <w:r w:rsidRPr="00772632">
        <w:rPr>
          <w:rFonts w:cstheme="minorHAnsi"/>
          <w:lang w:val="fr-FR"/>
        </w:rPr>
        <w:t xml:space="preserve"> </w:t>
      </w:r>
      <w:proofErr w:type="spellStart"/>
      <w:r w:rsidRPr="00772632">
        <w:rPr>
          <w:rFonts w:cstheme="minorHAnsi"/>
          <w:lang w:val="fr-FR"/>
        </w:rPr>
        <w:t>Research</w:t>
      </w:r>
      <w:proofErr w:type="spellEnd"/>
      <w:r w:rsidRPr="00772632">
        <w:rPr>
          <w:rFonts w:cstheme="minorHAnsi"/>
          <w:lang w:val="fr-FR"/>
        </w:rPr>
        <w:t xml:space="preserve"> Zone du salon PCIM Expo 2025 offre un accès exclusif aux résultats de recherche les plus récents en matière d’électronique de puissance. Chaque jour, des universités et des instituts de recherche différents présenteront leurs projets actuels et livreront un aperçu de l’évolution du paysage de la recherche. Parmi les institutions participantes, on trouve notamment l’Aalborg </w:t>
      </w:r>
      <w:proofErr w:type="spellStart"/>
      <w:r w:rsidRPr="00772632">
        <w:rPr>
          <w:rFonts w:cstheme="minorHAnsi"/>
          <w:lang w:val="fr-FR"/>
        </w:rPr>
        <w:t>Universitet</w:t>
      </w:r>
      <w:proofErr w:type="spellEnd"/>
      <w:r w:rsidRPr="00772632">
        <w:rPr>
          <w:rFonts w:cstheme="minorHAnsi"/>
          <w:lang w:val="fr-FR"/>
        </w:rPr>
        <w:t xml:space="preserve"> au Danemark, l’Université de Stuttgart - ILH en Allemagne et l’Université de </w:t>
      </w:r>
      <w:proofErr w:type="spellStart"/>
      <w:r w:rsidRPr="00772632">
        <w:rPr>
          <w:rFonts w:cstheme="minorHAnsi"/>
          <w:lang w:val="fr-FR"/>
        </w:rPr>
        <w:t>Teesside</w:t>
      </w:r>
      <w:proofErr w:type="spellEnd"/>
      <w:r w:rsidRPr="00772632">
        <w:rPr>
          <w:rFonts w:cstheme="minorHAnsi"/>
          <w:lang w:val="fr-FR"/>
        </w:rPr>
        <w:t xml:space="preserve"> en Angleterre.</w:t>
      </w:r>
    </w:p>
    <w:p w14:paraId="737FBDBF" w14:textId="77777777" w:rsidR="00E61C7B" w:rsidRPr="000F7328" w:rsidRDefault="00E61C7B" w:rsidP="00E61C7B">
      <w:pPr>
        <w:pStyle w:val="berschrift3"/>
        <w:rPr>
          <w:lang w:val="fr-FR"/>
        </w:rPr>
      </w:pPr>
      <w:r w:rsidRPr="00772632">
        <w:rPr>
          <w:bCs/>
          <w:lang w:val="fr-FR"/>
        </w:rPr>
        <w:lastRenderedPageBreak/>
        <w:t>Points forts de la conférence : des innovations tournées vers l’avenir au centre de toutes les attentions</w:t>
      </w:r>
    </w:p>
    <w:p w14:paraId="069F38C8" w14:textId="77777777" w:rsidR="00E61C7B" w:rsidRPr="000F7328" w:rsidRDefault="00E61C7B" w:rsidP="00E61C7B">
      <w:pPr>
        <w:pStyle w:val="Continuoustext"/>
        <w:rPr>
          <w:lang w:val="fr-FR"/>
        </w:rPr>
      </w:pPr>
      <w:r w:rsidRPr="00772632">
        <w:rPr>
          <w:lang w:val="fr-FR"/>
        </w:rPr>
        <w:t xml:space="preserve">Grâce à la PCIM </w:t>
      </w:r>
      <w:proofErr w:type="spellStart"/>
      <w:r w:rsidRPr="00772632">
        <w:rPr>
          <w:lang w:val="fr-FR"/>
        </w:rPr>
        <w:t>Conference</w:t>
      </w:r>
      <w:proofErr w:type="spellEnd"/>
      <w:r w:rsidRPr="00772632">
        <w:rPr>
          <w:lang w:val="fr-FR"/>
        </w:rPr>
        <w:t xml:space="preserve"> qui l’accompagne, le salon PCIM Expo offre une plateforme exclusive qui favorise les échanges entre l’industrie et la science. Les participants ont la possibilité d’explorer en profondeur les évolutions les plus récentes de l’électronique de puissance à travers plus de 400 premières publications et de s’informer à la source sur les avancées scientifiques actuelles. Cet échange efficace de connaissances contribue de manière décisive à façonner et à faire progresser le secteur.</w:t>
      </w:r>
    </w:p>
    <w:p w14:paraId="255215D1" w14:textId="77777777" w:rsidR="00E61C7B" w:rsidRPr="000F7328" w:rsidRDefault="00E61C7B" w:rsidP="00E61C7B">
      <w:pPr>
        <w:pStyle w:val="Continuoustext"/>
        <w:rPr>
          <w:lang w:val="fr-FR"/>
        </w:rPr>
      </w:pPr>
      <w:r w:rsidRPr="00772632">
        <w:rPr>
          <w:lang w:val="fr-FR"/>
        </w:rPr>
        <w:t>Parmi les points au programme de la conférence, citons, entre autres, les sessions suivantes :</w:t>
      </w:r>
    </w:p>
    <w:p w14:paraId="591BBF80" w14:textId="77777777" w:rsidR="00E61C7B" w:rsidRPr="000F7328" w:rsidRDefault="00E61C7B" w:rsidP="00E61C7B">
      <w:pPr>
        <w:pStyle w:val="Continuoustext"/>
        <w:numPr>
          <w:ilvl w:val="0"/>
          <w:numId w:val="6"/>
        </w:numPr>
        <w:rPr>
          <w:lang w:val="fr-FR"/>
        </w:rPr>
      </w:pPr>
      <w:r w:rsidRPr="00772632">
        <w:rPr>
          <w:lang w:val="fr-FR"/>
        </w:rPr>
        <w:t xml:space="preserve">Mardi 6 mai 2025, 11h – 12h : </w:t>
      </w:r>
      <w:proofErr w:type="spellStart"/>
      <w:r w:rsidRPr="00772632">
        <w:rPr>
          <w:lang w:val="fr-FR"/>
        </w:rPr>
        <w:t>SiC</w:t>
      </w:r>
      <w:proofErr w:type="spellEnd"/>
      <w:r w:rsidRPr="00772632">
        <w:rPr>
          <w:lang w:val="fr-FR"/>
        </w:rPr>
        <w:t xml:space="preserve"> MOSFET</w:t>
      </w:r>
    </w:p>
    <w:p w14:paraId="188E83C5" w14:textId="77777777" w:rsidR="00E61C7B" w:rsidRPr="000F7328" w:rsidRDefault="00E61C7B" w:rsidP="00E61C7B">
      <w:pPr>
        <w:pStyle w:val="Continuoustext"/>
        <w:numPr>
          <w:ilvl w:val="0"/>
          <w:numId w:val="6"/>
        </w:numPr>
        <w:rPr>
          <w:lang w:val="fr-FR"/>
        </w:rPr>
      </w:pPr>
      <w:r w:rsidRPr="00772632">
        <w:rPr>
          <w:lang w:val="fr-FR"/>
        </w:rPr>
        <w:t xml:space="preserve">Mercredi 7 mai 2025, 9h50 – 11h50 : Intelligent </w:t>
      </w:r>
      <w:proofErr w:type="spellStart"/>
      <w:r w:rsidRPr="00772632">
        <w:rPr>
          <w:lang w:val="fr-FR"/>
        </w:rPr>
        <w:t>Gate</w:t>
      </w:r>
      <w:proofErr w:type="spellEnd"/>
      <w:r w:rsidRPr="00772632">
        <w:rPr>
          <w:lang w:val="fr-FR"/>
        </w:rPr>
        <w:t xml:space="preserve"> Driver</w:t>
      </w:r>
    </w:p>
    <w:p w14:paraId="2E61D01E" w14:textId="77777777" w:rsidR="00E61C7B" w:rsidRPr="00E61C7B" w:rsidRDefault="00E61C7B" w:rsidP="00E61C7B">
      <w:pPr>
        <w:pStyle w:val="Continuoustext"/>
        <w:numPr>
          <w:ilvl w:val="0"/>
          <w:numId w:val="6"/>
        </w:numPr>
      </w:pPr>
      <w:proofErr w:type="spellStart"/>
      <w:r w:rsidRPr="00E61C7B">
        <w:t>Jeudi</w:t>
      </w:r>
      <w:proofErr w:type="spellEnd"/>
      <w:r w:rsidRPr="00E61C7B">
        <w:t xml:space="preserve"> 8 </w:t>
      </w:r>
      <w:proofErr w:type="spellStart"/>
      <w:r w:rsidRPr="00E61C7B">
        <w:t>mai</w:t>
      </w:r>
      <w:proofErr w:type="spellEnd"/>
      <w:r w:rsidRPr="00E61C7B">
        <w:t xml:space="preserve"> 2025, 9h50 – 11h</w:t>
      </w:r>
      <w:proofErr w:type="gramStart"/>
      <w:r w:rsidRPr="00E61C7B">
        <w:t>10 :</w:t>
      </w:r>
      <w:proofErr w:type="gramEnd"/>
      <w:r w:rsidRPr="00E61C7B">
        <w:t xml:space="preserve"> Inverter Design and </w:t>
      </w:r>
      <w:proofErr w:type="spellStart"/>
      <w:r w:rsidRPr="00E61C7B">
        <w:t>Reliability</w:t>
      </w:r>
      <w:proofErr w:type="spellEnd"/>
    </w:p>
    <w:p w14:paraId="7979E789" w14:textId="77777777" w:rsidR="00E61C7B" w:rsidRPr="000F7328" w:rsidRDefault="00E61C7B" w:rsidP="00E61C7B">
      <w:pPr>
        <w:pStyle w:val="Continuoustext"/>
        <w:rPr>
          <w:lang w:val="fr-FR"/>
        </w:rPr>
      </w:pPr>
      <w:r w:rsidRPr="00772632">
        <w:rPr>
          <w:lang w:val="fr-FR"/>
        </w:rPr>
        <w:t>Outre la foule de présentations techniques réparties dans six salles de conférence, les présentations de posters à travers plus de 40 sessions offrent un trempli</w:t>
      </w:r>
      <w:r>
        <w:rPr>
          <w:lang w:val="fr-FR"/>
        </w:rPr>
        <w:t>n</w:t>
      </w:r>
      <w:r w:rsidRPr="00772632">
        <w:rPr>
          <w:lang w:val="fr-FR"/>
        </w:rPr>
        <w:t xml:space="preserve"> pour des débats approfondis. Cette année encore, les sessions d’affichage prendront place dans deux lieux différents, au Foyer, entrée NCC </w:t>
      </w:r>
      <w:proofErr w:type="spellStart"/>
      <w:r w:rsidRPr="00772632">
        <w:rPr>
          <w:lang w:val="fr-FR"/>
        </w:rPr>
        <w:t>Mitte</w:t>
      </w:r>
      <w:proofErr w:type="spellEnd"/>
      <w:r w:rsidRPr="00772632">
        <w:rPr>
          <w:lang w:val="fr-FR"/>
        </w:rPr>
        <w:t xml:space="preserve"> ainsi que dans le hall 10.1 NCC </w:t>
      </w:r>
      <w:proofErr w:type="spellStart"/>
      <w:r w:rsidRPr="00772632">
        <w:rPr>
          <w:lang w:val="fr-FR"/>
        </w:rPr>
        <w:t>Mitte</w:t>
      </w:r>
      <w:proofErr w:type="spellEnd"/>
      <w:r w:rsidRPr="00772632">
        <w:rPr>
          <w:lang w:val="fr-FR"/>
        </w:rPr>
        <w:t xml:space="preserve"> et sont également accessibles à tous les visiteurs du salon.</w:t>
      </w:r>
    </w:p>
    <w:p w14:paraId="54B46E66" w14:textId="77777777" w:rsidR="00E61C7B" w:rsidRPr="000F7328" w:rsidRDefault="00E61C7B" w:rsidP="00E61C7B">
      <w:pPr>
        <w:pStyle w:val="berschrift3"/>
        <w:rPr>
          <w:lang w:val="fr-FR"/>
        </w:rPr>
      </w:pPr>
      <w:r w:rsidRPr="00772632">
        <w:rPr>
          <w:bCs/>
          <w:lang w:val="fr-FR"/>
        </w:rPr>
        <w:t>La durabilité, un rôle essentiel dans l’électronique de puissance</w:t>
      </w:r>
    </w:p>
    <w:p w14:paraId="28FC342B" w14:textId="77777777" w:rsidR="00E61C7B" w:rsidRPr="000F7328" w:rsidRDefault="00E61C7B" w:rsidP="00E61C7B">
      <w:pPr>
        <w:pStyle w:val="Continuoustext"/>
        <w:rPr>
          <w:rFonts w:asciiTheme="majorHAnsi" w:hAnsiTheme="majorHAnsi" w:cstheme="majorHAnsi"/>
          <w:lang w:val="fr-FR"/>
        </w:rPr>
      </w:pPr>
      <w:r w:rsidRPr="00772632">
        <w:rPr>
          <w:lang w:val="fr-FR"/>
        </w:rPr>
        <w:t xml:space="preserve">La PCIM </w:t>
      </w:r>
      <w:proofErr w:type="spellStart"/>
      <w:r w:rsidRPr="00772632">
        <w:rPr>
          <w:lang w:val="fr-FR"/>
        </w:rPr>
        <w:t>Conference</w:t>
      </w:r>
      <w:proofErr w:type="spellEnd"/>
      <w:r w:rsidRPr="00772632">
        <w:rPr>
          <w:lang w:val="fr-FR"/>
        </w:rPr>
        <w:t xml:space="preserve"> souligne l’importance croissante de la durabilité dans l’électronique de puissance. Il convient sur ce point de mentionner en particulier la session spéciale </w:t>
      </w:r>
      <w:proofErr w:type="spellStart"/>
      <w:r w:rsidRPr="00772632">
        <w:rPr>
          <w:lang w:val="fr-FR"/>
        </w:rPr>
        <w:t>d’Ole</w:t>
      </w:r>
      <w:proofErr w:type="spellEnd"/>
      <w:r w:rsidRPr="00772632">
        <w:rPr>
          <w:lang w:val="fr-FR"/>
        </w:rPr>
        <w:t xml:space="preserve"> </w:t>
      </w:r>
      <w:proofErr w:type="spellStart"/>
      <w:r w:rsidRPr="00772632">
        <w:rPr>
          <w:lang w:val="fr-FR"/>
        </w:rPr>
        <w:t>Gerkensmeyer</w:t>
      </w:r>
      <w:proofErr w:type="spellEnd"/>
      <w:r w:rsidRPr="00772632">
        <w:rPr>
          <w:lang w:val="fr-FR"/>
        </w:rPr>
        <w:t xml:space="preserve"> (</w:t>
      </w:r>
      <w:proofErr w:type="spellStart"/>
      <w:r w:rsidRPr="00772632">
        <w:rPr>
          <w:lang w:val="fr-FR"/>
        </w:rPr>
        <w:t>Nexperia</w:t>
      </w:r>
      <w:proofErr w:type="spellEnd"/>
      <w:r w:rsidRPr="00772632">
        <w:rPr>
          <w:lang w:val="fr-FR"/>
        </w:rPr>
        <w:t>) consacrée au thème « </w:t>
      </w:r>
      <w:proofErr w:type="spellStart"/>
      <w:r w:rsidRPr="00772632">
        <w:rPr>
          <w:lang w:val="fr-FR"/>
        </w:rPr>
        <w:t>Circular</w:t>
      </w:r>
      <w:proofErr w:type="spellEnd"/>
      <w:r w:rsidRPr="00772632">
        <w:rPr>
          <w:lang w:val="fr-FR"/>
        </w:rPr>
        <w:t xml:space="preserve"> Economy in Power Electronics ». Elle présente des stratégies avancées d’intégration de l’économie circulaire dans le secteur. Autre temps fort : la </w:t>
      </w:r>
      <w:proofErr w:type="spellStart"/>
      <w:r w:rsidRPr="00772632">
        <w:rPr>
          <w:lang w:val="fr-FR"/>
        </w:rPr>
        <w:t>keynote</w:t>
      </w:r>
      <w:proofErr w:type="spellEnd"/>
      <w:r w:rsidRPr="00772632">
        <w:rPr>
          <w:lang w:val="fr-FR"/>
        </w:rPr>
        <w:t xml:space="preserve"> de Johann W. </w:t>
      </w:r>
      <w:proofErr w:type="spellStart"/>
      <w:r w:rsidRPr="00772632">
        <w:rPr>
          <w:lang w:val="fr-FR"/>
        </w:rPr>
        <w:t>Kolar</w:t>
      </w:r>
      <w:proofErr w:type="spellEnd"/>
      <w:r w:rsidRPr="00772632">
        <w:rPr>
          <w:lang w:val="fr-FR"/>
        </w:rPr>
        <w:t xml:space="preserve"> (ETH Zurich) intitulée « Challenges of Green </w:t>
      </w:r>
      <w:proofErr w:type="spellStart"/>
      <w:r w:rsidRPr="00772632">
        <w:rPr>
          <w:lang w:val="fr-FR"/>
        </w:rPr>
        <w:t>Growth</w:t>
      </w:r>
      <w:proofErr w:type="spellEnd"/>
      <w:r w:rsidRPr="00772632">
        <w:rPr>
          <w:lang w:val="fr-FR"/>
        </w:rPr>
        <w:t xml:space="preserve"> - Limited Energy Return on Energy </w:t>
      </w:r>
      <w:proofErr w:type="spellStart"/>
      <w:r w:rsidRPr="00772632">
        <w:rPr>
          <w:lang w:val="fr-FR"/>
        </w:rPr>
        <w:t>Invested</w:t>
      </w:r>
      <w:proofErr w:type="spellEnd"/>
      <w:r w:rsidRPr="00772632">
        <w:rPr>
          <w:lang w:val="fr-FR"/>
        </w:rPr>
        <w:t xml:space="preserve"> &amp; Critical Raw </w:t>
      </w:r>
      <w:proofErr w:type="spellStart"/>
      <w:r w:rsidRPr="00772632">
        <w:rPr>
          <w:lang w:val="fr-FR"/>
        </w:rPr>
        <w:t>Material</w:t>
      </w:r>
      <w:proofErr w:type="spellEnd"/>
      <w:r w:rsidRPr="00772632">
        <w:rPr>
          <w:lang w:val="fr-FR"/>
        </w:rPr>
        <w:t xml:space="preserve"> </w:t>
      </w:r>
      <w:proofErr w:type="spellStart"/>
      <w:r w:rsidRPr="00772632">
        <w:rPr>
          <w:lang w:val="fr-FR"/>
        </w:rPr>
        <w:t>Shortage</w:t>
      </w:r>
      <w:proofErr w:type="spellEnd"/>
      <w:r w:rsidRPr="00772632">
        <w:rPr>
          <w:lang w:val="fr-FR"/>
        </w:rPr>
        <w:t xml:space="preserve"> ». La présentation met en lumière les défis d’un système énergétique 100 % renouvelable et appelle à une économie circulaire zéro déchet et à une </w:t>
      </w:r>
      <w:r w:rsidRPr="00772632">
        <w:rPr>
          <w:rFonts w:asciiTheme="majorHAnsi" w:hAnsiTheme="majorHAnsi"/>
          <w:lang w:val="fr-FR"/>
        </w:rPr>
        <w:t>électronique de puissance efficace pour surmonter ces obstacles.</w:t>
      </w:r>
    </w:p>
    <w:p w14:paraId="6E6A2BC9" w14:textId="77777777" w:rsidR="00E61C7B" w:rsidRPr="000F7328" w:rsidRDefault="00E61C7B" w:rsidP="00E61C7B">
      <w:pPr>
        <w:pStyle w:val="Continuoustext"/>
        <w:rPr>
          <w:rFonts w:asciiTheme="majorHAnsi" w:hAnsiTheme="majorHAnsi" w:cstheme="majorHAnsi"/>
          <w:lang w:val="fr-FR"/>
        </w:rPr>
      </w:pPr>
      <w:r w:rsidRPr="00772632">
        <w:rPr>
          <w:rFonts w:asciiTheme="majorHAnsi" w:hAnsiTheme="majorHAnsi"/>
          <w:lang w:val="fr-FR"/>
        </w:rPr>
        <w:t>Les technologies durables et les applications à haute efficacité énergétique font également partie des thèmes centraux du salon PCIM Expo. De nombreux exposants présenteront des composants, des systèmes et des innovations visant à améliorer l’efficacité énergétique, à réduire les émissions de CO</w:t>
      </w:r>
      <w:r w:rsidRPr="00772632">
        <w:rPr>
          <w:rFonts w:ascii="Cambria Math" w:hAnsi="Cambria Math"/>
          <w:lang w:val="fr-FR"/>
        </w:rPr>
        <w:t>₂</w:t>
      </w:r>
      <w:r w:rsidRPr="00772632">
        <w:rPr>
          <w:rFonts w:asciiTheme="majorHAnsi" w:hAnsiTheme="majorHAnsi"/>
          <w:lang w:val="fr-FR"/>
        </w:rPr>
        <w:t xml:space="preserve"> et à développer les énergies renouvelables. Des entreprises telles que </w:t>
      </w:r>
      <w:proofErr w:type="spellStart"/>
      <w:r w:rsidRPr="00772632">
        <w:rPr>
          <w:rFonts w:asciiTheme="majorHAnsi" w:hAnsiTheme="majorHAnsi"/>
          <w:lang w:val="fr-FR"/>
        </w:rPr>
        <w:t>Semikron</w:t>
      </w:r>
      <w:proofErr w:type="spellEnd"/>
      <w:r w:rsidRPr="00772632">
        <w:rPr>
          <w:rFonts w:asciiTheme="majorHAnsi" w:hAnsiTheme="majorHAnsi"/>
          <w:lang w:val="fr-FR"/>
        </w:rPr>
        <w:t xml:space="preserve"> Danfoss </w:t>
      </w:r>
      <w:proofErr w:type="spellStart"/>
      <w:r w:rsidRPr="00772632">
        <w:rPr>
          <w:rFonts w:asciiTheme="majorHAnsi" w:hAnsiTheme="majorHAnsi"/>
          <w:lang w:val="fr-FR"/>
        </w:rPr>
        <w:t>Elektronik</w:t>
      </w:r>
      <w:proofErr w:type="spellEnd"/>
      <w:r w:rsidRPr="00772632">
        <w:rPr>
          <w:rFonts w:asciiTheme="majorHAnsi" w:hAnsiTheme="majorHAnsi"/>
          <w:lang w:val="fr-FR"/>
        </w:rPr>
        <w:t xml:space="preserve">, STMicroelectronics, </w:t>
      </w:r>
      <w:proofErr w:type="spellStart"/>
      <w:r w:rsidRPr="00772632">
        <w:rPr>
          <w:rFonts w:asciiTheme="majorHAnsi" w:hAnsiTheme="majorHAnsi"/>
          <w:lang w:val="fr-FR"/>
        </w:rPr>
        <w:t>Littlefuse</w:t>
      </w:r>
      <w:proofErr w:type="spellEnd"/>
      <w:r w:rsidRPr="00772632">
        <w:rPr>
          <w:rFonts w:asciiTheme="majorHAnsi" w:hAnsiTheme="majorHAnsi"/>
          <w:lang w:val="fr-FR"/>
        </w:rPr>
        <w:t xml:space="preserve">, </w:t>
      </w:r>
      <w:proofErr w:type="spellStart"/>
      <w:r w:rsidRPr="00772632">
        <w:rPr>
          <w:rFonts w:asciiTheme="majorHAnsi" w:hAnsiTheme="majorHAnsi"/>
          <w:lang w:val="fr-FR"/>
        </w:rPr>
        <w:t>Menlo</w:t>
      </w:r>
      <w:proofErr w:type="spellEnd"/>
      <w:r w:rsidRPr="00772632">
        <w:rPr>
          <w:rFonts w:asciiTheme="majorHAnsi" w:hAnsiTheme="majorHAnsi"/>
          <w:lang w:val="fr-FR"/>
        </w:rPr>
        <w:t xml:space="preserve"> Microsystems et </w:t>
      </w:r>
      <w:proofErr w:type="spellStart"/>
      <w:r w:rsidRPr="00772632">
        <w:rPr>
          <w:rFonts w:asciiTheme="majorHAnsi" w:hAnsiTheme="majorHAnsi"/>
          <w:lang w:val="fr-FR"/>
        </w:rPr>
        <w:t>CoolCAD</w:t>
      </w:r>
      <w:proofErr w:type="spellEnd"/>
      <w:r w:rsidRPr="00772632">
        <w:rPr>
          <w:rFonts w:asciiTheme="majorHAnsi" w:hAnsiTheme="majorHAnsi"/>
          <w:lang w:val="fr-FR"/>
        </w:rPr>
        <w:t xml:space="preserve"> Electronics montrent comment traduire les exigences actuelles de durabilité en solutions tournées vers l’avenir. </w:t>
      </w:r>
    </w:p>
    <w:p w14:paraId="7A1EB9DF" w14:textId="77777777" w:rsidR="00E61C7B" w:rsidRPr="000F7328" w:rsidRDefault="00E61C7B" w:rsidP="00E61C7B">
      <w:pPr>
        <w:pStyle w:val="Continuoustext"/>
        <w:rPr>
          <w:rFonts w:asciiTheme="majorHAnsi" w:hAnsiTheme="majorHAnsi" w:cstheme="majorHAnsi"/>
          <w:lang w:val="fr-FR"/>
        </w:rPr>
      </w:pPr>
      <w:r w:rsidRPr="00772632">
        <w:rPr>
          <w:rFonts w:asciiTheme="majorHAnsi" w:hAnsiTheme="majorHAnsi" w:cstheme="majorHAnsi"/>
          <w:lang w:val="fr-FR"/>
        </w:rPr>
        <w:t xml:space="preserve">Sur la scène </w:t>
      </w:r>
      <w:proofErr w:type="spellStart"/>
      <w:r w:rsidRPr="00772632">
        <w:rPr>
          <w:rFonts w:asciiTheme="majorHAnsi" w:hAnsiTheme="majorHAnsi" w:cstheme="majorHAnsi"/>
          <w:lang w:val="fr-FR"/>
        </w:rPr>
        <w:t>Technology</w:t>
      </w:r>
      <w:proofErr w:type="spellEnd"/>
      <w:r w:rsidRPr="00772632">
        <w:rPr>
          <w:rFonts w:asciiTheme="majorHAnsi" w:hAnsiTheme="majorHAnsi" w:cstheme="majorHAnsi"/>
          <w:lang w:val="fr-FR"/>
        </w:rPr>
        <w:t xml:space="preserve">, des approches innovantes de l’électronique de puissance pour la transition énergétique seront présentées et débattues, notamment les technologies de stockage de l’énergie, l’optimisation des composants et l’intégration des énergies renouvelables dans les systèmes existants. Parmi les intervenants figurent des experts issus d’entreprises telles que Texas Instruments, Robert Bosch, </w:t>
      </w:r>
      <w:proofErr w:type="spellStart"/>
      <w:r w:rsidRPr="00772632">
        <w:rPr>
          <w:rFonts w:asciiTheme="majorHAnsi" w:hAnsiTheme="majorHAnsi" w:cstheme="majorHAnsi"/>
          <w:lang w:val="fr-FR"/>
        </w:rPr>
        <w:t>Arcel</w:t>
      </w:r>
      <w:proofErr w:type="spellEnd"/>
      <w:r w:rsidRPr="00772632">
        <w:rPr>
          <w:rFonts w:asciiTheme="majorHAnsi" w:hAnsiTheme="majorHAnsi" w:cstheme="majorHAnsi"/>
          <w:lang w:val="fr-FR"/>
        </w:rPr>
        <w:t xml:space="preserve"> et l’Université de Twente.</w:t>
      </w:r>
    </w:p>
    <w:p w14:paraId="07CDA9F5" w14:textId="77777777" w:rsidR="00E61C7B" w:rsidRPr="000F7328" w:rsidRDefault="00E61C7B" w:rsidP="00E61C7B">
      <w:pPr>
        <w:pStyle w:val="Continuoustext"/>
        <w:rPr>
          <w:rFonts w:asciiTheme="majorHAnsi" w:hAnsiTheme="majorHAnsi" w:cstheme="majorHAnsi"/>
          <w:lang w:val="fr-FR"/>
        </w:rPr>
      </w:pPr>
      <w:bookmarkStart w:id="3" w:name="_Hlk194048440"/>
      <w:r w:rsidRPr="00772632">
        <w:rPr>
          <w:rFonts w:asciiTheme="majorHAnsi" w:hAnsiTheme="majorHAnsi" w:cstheme="majorHAnsi"/>
          <w:lang w:val="fr-FR"/>
        </w:rPr>
        <w:lastRenderedPageBreak/>
        <w:t>Les résultats actuels de la recherche dans le domaine de la durabilité seront présentés sur l’</w:t>
      </w:r>
      <w:proofErr w:type="spellStart"/>
      <w:r w:rsidRPr="00772632">
        <w:rPr>
          <w:rFonts w:asciiTheme="majorHAnsi" w:hAnsiTheme="majorHAnsi" w:cstheme="majorHAnsi"/>
          <w:lang w:val="fr-FR"/>
        </w:rPr>
        <w:t>University</w:t>
      </w:r>
      <w:proofErr w:type="spellEnd"/>
      <w:r w:rsidRPr="00772632">
        <w:rPr>
          <w:rFonts w:asciiTheme="majorHAnsi" w:hAnsiTheme="majorHAnsi" w:cstheme="majorHAnsi"/>
          <w:lang w:val="fr-FR"/>
        </w:rPr>
        <w:t xml:space="preserve"> </w:t>
      </w:r>
      <w:proofErr w:type="spellStart"/>
      <w:r w:rsidRPr="00772632">
        <w:rPr>
          <w:rFonts w:asciiTheme="majorHAnsi" w:hAnsiTheme="majorHAnsi" w:cstheme="majorHAnsi"/>
          <w:lang w:val="fr-FR"/>
        </w:rPr>
        <w:t>Research</w:t>
      </w:r>
      <w:proofErr w:type="spellEnd"/>
      <w:r w:rsidRPr="00772632">
        <w:rPr>
          <w:rFonts w:asciiTheme="majorHAnsi" w:hAnsiTheme="majorHAnsi" w:cstheme="majorHAnsi"/>
          <w:lang w:val="fr-FR"/>
        </w:rPr>
        <w:t xml:space="preserve"> Zone, notamment le projet « Power Electronics </w:t>
      </w:r>
      <w:proofErr w:type="spellStart"/>
      <w:r w:rsidRPr="00772632">
        <w:rPr>
          <w:rFonts w:asciiTheme="majorHAnsi" w:hAnsiTheme="majorHAnsi" w:cstheme="majorHAnsi"/>
          <w:lang w:val="fr-FR"/>
        </w:rPr>
        <w:t>Enabling</w:t>
      </w:r>
      <w:proofErr w:type="spellEnd"/>
      <w:r w:rsidRPr="00772632">
        <w:rPr>
          <w:rFonts w:asciiTheme="majorHAnsi" w:hAnsiTheme="majorHAnsi" w:cstheme="majorHAnsi"/>
          <w:lang w:val="fr-FR"/>
        </w:rPr>
        <w:t xml:space="preserve"> Energy </w:t>
      </w:r>
      <w:proofErr w:type="spellStart"/>
      <w:r w:rsidRPr="00772632">
        <w:rPr>
          <w:rFonts w:asciiTheme="majorHAnsi" w:hAnsiTheme="majorHAnsi" w:cstheme="majorHAnsi"/>
          <w:lang w:val="fr-FR"/>
        </w:rPr>
        <w:t>Storages</w:t>
      </w:r>
      <w:proofErr w:type="spellEnd"/>
      <w:r w:rsidRPr="00772632">
        <w:rPr>
          <w:rFonts w:asciiTheme="majorHAnsi" w:hAnsiTheme="majorHAnsi" w:cstheme="majorHAnsi"/>
          <w:lang w:val="fr-FR"/>
        </w:rPr>
        <w:t> » de l’université d’Innsbruck.</w:t>
      </w:r>
    </w:p>
    <w:bookmarkEnd w:id="3"/>
    <w:p w14:paraId="77FDDEE9" w14:textId="77777777" w:rsidR="00E61C7B" w:rsidRPr="000F7328" w:rsidRDefault="00E61C7B" w:rsidP="00E61C7B">
      <w:pPr>
        <w:pStyle w:val="Continuoustext"/>
        <w:rPr>
          <w:rFonts w:asciiTheme="majorHAnsi" w:hAnsiTheme="majorHAnsi" w:cstheme="majorHAnsi"/>
          <w:lang w:val="fr-FR"/>
        </w:rPr>
      </w:pPr>
      <w:r w:rsidRPr="00772632">
        <w:rPr>
          <w:rFonts w:asciiTheme="majorHAnsi" w:hAnsiTheme="majorHAnsi" w:cstheme="majorHAnsi"/>
          <w:lang w:val="fr-FR"/>
        </w:rPr>
        <w:t xml:space="preserve">Les visiteurs trouveront ainsi dans le cadre du salon professionnel et de la conférence une multitude d’offres pour s’informer sur les approches durables en matière d’électronique de puissance et identifier de nouveaux potentiels pour leurs propres applications. « C’est ici que nous rencontrons nos partenaires et nos clients pour développer ensemble des solutions d’électrification innovantes. L’événement offre tout ce dont nous avons besoin pour réaliser notre objectif d’aboutir à avenir durable », souligne </w:t>
      </w:r>
      <w:proofErr w:type="spellStart"/>
      <w:r w:rsidRPr="00772632">
        <w:rPr>
          <w:rFonts w:asciiTheme="majorHAnsi" w:hAnsiTheme="majorHAnsi" w:cstheme="majorHAnsi"/>
          <w:lang w:val="fr-FR"/>
        </w:rPr>
        <w:t>Damaris</w:t>
      </w:r>
      <w:proofErr w:type="spellEnd"/>
      <w:r w:rsidRPr="00772632">
        <w:rPr>
          <w:rFonts w:asciiTheme="majorHAnsi" w:hAnsiTheme="majorHAnsi" w:cstheme="majorHAnsi"/>
          <w:lang w:val="fr-FR"/>
        </w:rPr>
        <w:t xml:space="preserve"> Ochoa, Marketing Communications Manager chez NXP </w:t>
      </w:r>
      <w:proofErr w:type="spellStart"/>
      <w:r w:rsidRPr="00772632">
        <w:rPr>
          <w:rFonts w:asciiTheme="majorHAnsi" w:hAnsiTheme="majorHAnsi" w:cstheme="majorHAnsi"/>
          <w:lang w:val="fr-FR"/>
        </w:rPr>
        <w:t>Semiconductors</w:t>
      </w:r>
      <w:proofErr w:type="spellEnd"/>
      <w:r w:rsidRPr="00772632">
        <w:rPr>
          <w:rFonts w:asciiTheme="majorHAnsi" w:hAnsiTheme="majorHAnsi" w:cstheme="majorHAnsi"/>
          <w:lang w:val="fr-FR"/>
        </w:rPr>
        <w:t>.</w:t>
      </w:r>
    </w:p>
    <w:p w14:paraId="615D98B6" w14:textId="5B1E87A9" w:rsidR="00E61C7B" w:rsidRPr="000F7328" w:rsidRDefault="00E61C7B" w:rsidP="00E61C7B">
      <w:pPr>
        <w:pStyle w:val="Continuoustext"/>
        <w:rPr>
          <w:lang w:val="fr-FR"/>
        </w:rPr>
      </w:pPr>
      <w:r w:rsidRPr="00772632">
        <w:rPr>
          <w:lang w:val="fr-FR"/>
        </w:rPr>
        <w:t xml:space="preserve">Vous trouverez de plus amples informations sur l’événement ainsi que le programme et la billetterie sur le site </w:t>
      </w:r>
      <w:hyperlink r:id="rId7" w:history="1">
        <w:proofErr w:type="spellStart"/>
        <w:proofErr w:type="gramStart"/>
        <w:r w:rsidRPr="00772632">
          <w:rPr>
            <w:rStyle w:val="Hyperlink"/>
            <w:lang w:val="fr-FR"/>
          </w:rPr>
          <w:t>pcim.</w:t>
        </w:r>
        <w:r w:rsidR="00835DAE">
          <w:rPr>
            <w:rStyle w:val="Hyperlink"/>
            <w:lang w:val="fr-FR"/>
          </w:rPr>
          <w:t>en</w:t>
        </w:r>
        <w:proofErr w:type="spellEnd"/>
        <w:proofErr w:type="gramEnd"/>
      </w:hyperlink>
      <w:r w:rsidRPr="00772632">
        <w:rPr>
          <w:lang w:val="fr-FR"/>
        </w:rPr>
        <w:t>.</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E61C7B" w:rsidRPr="00772632" w14:paraId="6603EAC5" w14:textId="77777777" w:rsidTr="00B90C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5EB878EC" w14:textId="77777777" w:rsidR="00E61C7B" w:rsidRPr="000F7328" w:rsidRDefault="00E61C7B" w:rsidP="00B90C34">
            <w:pPr>
              <w:ind w:left="0"/>
              <w:rPr>
                <w:lang w:val="fr-FR"/>
              </w:rPr>
            </w:pPr>
            <w:r w:rsidRPr="00772632">
              <w:rPr>
                <w:noProof/>
                <w:lang w:val="fr-FR"/>
              </w:rPr>
              <w:drawing>
                <wp:inline distT="0" distB="0" distL="0" distR="0" wp14:anchorId="110ED1E6" wp14:editId="7478DDB2">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E61C7B" w:rsidRPr="00772632" w14:paraId="5A97349A" w14:textId="77777777" w:rsidTr="00B90C34">
        <w:tc>
          <w:tcPr>
            <w:tcW w:w="5953" w:type="dxa"/>
          </w:tcPr>
          <w:p w14:paraId="3F527D21" w14:textId="77777777" w:rsidR="00E61C7B" w:rsidRPr="000F7328" w:rsidRDefault="00E61C7B" w:rsidP="00B90C34">
            <w:pPr>
              <w:pStyle w:val="Imagecaption"/>
              <w:rPr>
                <w:lang w:val="de-DE"/>
              </w:rPr>
            </w:pPr>
            <w:r w:rsidRPr="00E61C7B">
              <w:rPr>
                <w:lang w:val="de-DE"/>
              </w:rPr>
              <w:t>Copyright Mesago Messe Frankfurt GmbH / Arturo Rivas Gonzalez</w:t>
            </w:r>
          </w:p>
        </w:tc>
      </w:tr>
    </w:tbl>
    <w:p w14:paraId="3C022DF1" w14:textId="77777777" w:rsidR="007B2F67" w:rsidRPr="00672009" w:rsidRDefault="00726A9F" w:rsidP="00011797">
      <w:pPr>
        <w:pStyle w:val="Continuoustext"/>
        <w:rPr>
          <w:lang w:val="fr-FR"/>
        </w:rPr>
      </w:pPr>
      <w:r>
        <w:rPr>
          <w:lang w:val="fr-FR"/>
        </w:rPr>
        <w:t xml:space="preserve">PCIM Expo &amp; </w:t>
      </w:r>
      <w:proofErr w:type="spellStart"/>
      <w:r>
        <w:rPr>
          <w:lang w:val="fr-FR"/>
        </w:rPr>
        <w:t>Conference</w:t>
      </w:r>
      <w:proofErr w:type="spellEnd"/>
    </w:p>
    <w:p w14:paraId="3AA94514" w14:textId="77777777" w:rsidR="00A15BC8" w:rsidRPr="00672009" w:rsidRDefault="00726A9F" w:rsidP="00A15BC8">
      <w:pPr>
        <w:pStyle w:val="Continuoustext"/>
        <w:rPr>
          <w:lang w:val="fr-FR"/>
        </w:rPr>
      </w:pPr>
      <w:r>
        <w:rPr>
          <w:lang w:val="fr-FR"/>
        </w:rPr>
        <w:t xml:space="preserve">Salon professionnel international et </w:t>
      </w:r>
      <w:proofErr w:type="gramStart"/>
      <w:r>
        <w:rPr>
          <w:lang w:val="fr-FR"/>
        </w:rPr>
        <w:t>conférence dédiés</w:t>
      </w:r>
      <w:proofErr w:type="gramEnd"/>
      <w:r>
        <w:rPr>
          <w:lang w:val="fr-FR"/>
        </w:rPr>
        <w:t xml:space="preserve"> à l’électronique de puissance, à la technologie d’entraînement intelligente, aux énergies renouvelables et à la gestion de l’énergie</w:t>
      </w:r>
    </w:p>
    <w:p w14:paraId="0ACBD188" w14:textId="77777777" w:rsidR="00C56C0A" w:rsidRPr="00672009" w:rsidRDefault="00726A9F" w:rsidP="00673621">
      <w:pPr>
        <w:pStyle w:val="Continuoustext"/>
        <w:rPr>
          <w:lang w:val="fr-FR"/>
        </w:rPr>
      </w:pPr>
      <w:r>
        <w:rPr>
          <w:lang w:val="fr-FR"/>
        </w:rPr>
        <w:t>Le salon PCIM Expo &amp; Conférence aura lieu du 06 au 08 mai 2025.</w:t>
      </w:r>
    </w:p>
    <w:p w14:paraId="483209E6" w14:textId="77777777" w:rsidR="00C56C0A" w:rsidRPr="00D0475A" w:rsidRDefault="00726A9F" w:rsidP="002757C9">
      <w:pPr>
        <w:pStyle w:val="berschrift4"/>
      </w:pPr>
      <w:bookmarkStart w:id="4" w:name="Presseueberschrift"/>
      <w:bookmarkStart w:id="5" w:name="hinweisueberschrift"/>
      <w:bookmarkEnd w:id="4"/>
      <w:bookmarkEnd w:id="5"/>
      <w:r>
        <w:rPr>
          <w:bCs/>
          <w:iCs w:val="0"/>
          <w:lang w:val="fr-FR"/>
        </w:rPr>
        <w:t>Communiqués de presse et documents photographiques :</w:t>
      </w:r>
    </w:p>
    <w:bookmarkStart w:id="6" w:name="Journalisten"/>
    <w:bookmarkEnd w:id="6"/>
    <w:p w14:paraId="42B29EF0" w14:textId="2D4233B7" w:rsidR="007C62B4" w:rsidRPr="005E3C63" w:rsidRDefault="00726A9F" w:rsidP="003F716F">
      <w:pPr>
        <w:pStyle w:val="Continuoustext"/>
      </w:pPr>
      <w:r>
        <w:rPr>
          <w:lang w:val="fr-FR"/>
        </w:rPr>
        <w:fldChar w:fldCharType="begin"/>
      </w:r>
      <w:r>
        <w:rPr>
          <w:lang w:val="fr-FR"/>
        </w:rPr>
        <w:instrText xml:space="preserve"> HYPERLINK "https://pcim.mesago.com/nuernberg/en/press.html" </w:instrText>
      </w:r>
      <w:r>
        <w:rPr>
          <w:lang w:val="fr-FR"/>
        </w:rPr>
        <w:fldChar w:fldCharType="separate"/>
      </w:r>
      <w:hyperlink r:id="rId9" w:history="1">
        <w:hyperlink r:id="rId10" w:history="1">
          <w:r>
            <w:rPr>
              <w:rStyle w:val="Hyperlink"/>
              <w:lang w:val="fr-FR"/>
            </w:rPr>
            <w:t xml:space="preserve">Presse - PCIM </w:t>
          </w:r>
        </w:hyperlink>
      </w:hyperlink>
      <w:r>
        <w:rPr>
          <w:lang w:val="fr-FR"/>
        </w:rPr>
        <w:fldChar w:fldCharType="end"/>
      </w:r>
    </w:p>
    <w:p w14:paraId="5988239E" w14:textId="77777777" w:rsidR="00C56C0A" w:rsidRPr="00835DAE" w:rsidRDefault="00726A9F" w:rsidP="002757C9">
      <w:pPr>
        <w:pStyle w:val="berschrift4"/>
        <w:rPr>
          <w:lang w:val="en-US"/>
        </w:rPr>
      </w:pPr>
      <w:r>
        <w:rPr>
          <w:bCs/>
          <w:iCs w:val="0"/>
          <w:lang w:val="fr-FR"/>
        </w:rPr>
        <w:t>Liens vers les sites Web :</w:t>
      </w:r>
    </w:p>
    <w:bookmarkStart w:id="7" w:name="Netz"/>
    <w:bookmarkEnd w:id="7"/>
    <w:p w14:paraId="56CB5AB6" w14:textId="76DD9283" w:rsidR="00641AD8" w:rsidRPr="00726A9F" w:rsidRDefault="00726A9F" w:rsidP="003F716F">
      <w:pPr>
        <w:pStyle w:val="Continuoustext"/>
        <w:rPr>
          <w:color w:val="auto"/>
          <w:lang w:val="en-US"/>
        </w:rPr>
      </w:pPr>
      <w:r>
        <w:rPr>
          <w:lang w:val="fr-FR"/>
        </w:rPr>
        <w:fldChar w:fldCharType="begin"/>
      </w:r>
      <w:r w:rsidR="00CD0848">
        <w:rPr>
          <w:lang w:val="fr-FR"/>
        </w:rPr>
        <w:instrText>HYPERLINK "https://pcim.mesago.com/nuernberg/en.html"</w:instrText>
      </w:r>
      <w:r>
        <w:rPr>
          <w:lang w:val="fr-FR"/>
        </w:rPr>
        <w:fldChar w:fldCharType="separate"/>
      </w:r>
      <w:r>
        <w:rPr>
          <w:rStyle w:val="Hyperlink"/>
          <w:lang w:val="fr-FR"/>
        </w:rPr>
        <w:t>PCIM – Hub for Power Electronics</w:t>
      </w:r>
      <w:r>
        <w:rPr>
          <w:lang w:val="fr-FR"/>
        </w:rPr>
        <w:fldChar w:fldCharType="end"/>
      </w:r>
      <w:r>
        <w:rPr>
          <w:color w:val="auto"/>
          <w:lang w:val="fr-FR"/>
        </w:rPr>
        <w:t xml:space="preserve"> </w:t>
      </w:r>
      <w:r>
        <w:rPr>
          <w:color w:val="auto"/>
          <w:lang w:val="fr-FR"/>
        </w:rPr>
        <w:br/>
      </w:r>
      <w:r>
        <w:rPr>
          <w:color w:val="auto"/>
          <w:lang w:val="fr-FR"/>
        </w:rPr>
        <w:br/>
      </w:r>
      <w:r w:rsidR="00FB68B3">
        <w:fldChar w:fldCharType="begin"/>
      </w:r>
      <w:r w:rsidR="00FB68B3" w:rsidRPr="00FB68B3">
        <w:rPr>
          <w:lang w:val="en-US"/>
        </w:rPr>
        <w:instrText xml:space="preserve"> HYPERLINK "https://www.facebook.com/pcimeurope/" </w:instrText>
      </w:r>
      <w:r w:rsidR="00FB68B3">
        <w:fldChar w:fldCharType="separate"/>
      </w:r>
      <w:r>
        <w:rPr>
          <w:rStyle w:val="Hyperlink"/>
          <w:lang w:val="fr-FR"/>
        </w:rPr>
        <w:t>https://www.facebook.com/pcim</w:t>
      </w:r>
      <w:r w:rsidR="00FB68B3">
        <w:rPr>
          <w:rStyle w:val="Hyperlink"/>
          <w:lang w:val="fr-FR"/>
        </w:rPr>
        <w:fldChar w:fldCharType="end"/>
      </w:r>
      <w:r>
        <w:rPr>
          <w:color w:val="auto"/>
          <w:lang w:val="fr-FR"/>
        </w:rPr>
        <w:t>/</w:t>
      </w:r>
      <w:r>
        <w:rPr>
          <w:color w:val="auto"/>
          <w:lang w:val="fr-FR"/>
        </w:rPr>
        <w:br/>
      </w:r>
      <w:r w:rsidR="00FB68B3">
        <w:fldChar w:fldCharType="begin"/>
      </w:r>
      <w:r w:rsidR="00FB68B3" w:rsidRPr="00FB68B3">
        <w:rPr>
          <w:lang w:val="en-US"/>
        </w:rPr>
        <w:instrText xml:space="preserve"> HYPERLINK "https://www.linkedin.com/showcase/pcim-europe" </w:instrText>
      </w:r>
      <w:r w:rsidR="00FB68B3">
        <w:fldChar w:fldCharType="separate"/>
      </w:r>
      <w:r>
        <w:rPr>
          <w:rStyle w:val="Hyperlink"/>
          <w:lang w:val="fr-FR"/>
        </w:rPr>
        <w:t>https://www.linkedin.com/showcase/pcim</w:t>
      </w:r>
      <w:r w:rsidR="00FB68B3">
        <w:rPr>
          <w:rStyle w:val="Hyperlink"/>
          <w:lang w:val="fr-FR"/>
        </w:rPr>
        <w:fldChar w:fldCharType="end"/>
      </w:r>
    </w:p>
    <w:p w14:paraId="5263CAB0" w14:textId="77777777" w:rsidR="003F716F" w:rsidRPr="008F7DA5"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C7D61" w14:paraId="5E5327D7" w14:textId="77777777" w:rsidTr="00D0475A">
        <w:tc>
          <w:tcPr>
            <w:tcW w:w="5000" w:type="pct"/>
            <w:tcMar>
              <w:top w:w="0" w:type="dxa"/>
              <w:left w:w="142" w:type="dxa"/>
              <w:bottom w:w="0" w:type="dxa"/>
              <w:right w:w="0" w:type="dxa"/>
            </w:tcMar>
            <w:hideMark/>
          </w:tcPr>
          <w:p w14:paraId="5963A238" w14:textId="77777777" w:rsidR="00D0475A" w:rsidRPr="008F7DA5" w:rsidRDefault="00726A9F">
            <w:pPr>
              <w:pStyle w:val="Logogram"/>
            </w:pPr>
            <w:r>
              <w:rPr>
                <w:bCs/>
                <w:iCs w:val="0"/>
                <w:noProof/>
                <w:lang w:val="fr-FR"/>
              </w:rPr>
              <w:lastRenderedPageBreak/>
              <w:drawing>
                <wp:anchor distT="0" distB="0" distL="114300" distR="114300" simplePos="0" relativeHeight="251658240" behindDoc="1" locked="0" layoutInCell="1" allowOverlap="1" wp14:anchorId="13CA9C06" wp14:editId="5ED05072">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38275" cy="466725"/>
                          </a:xfrm>
                          <a:prstGeom prst="rect">
                            <a:avLst/>
                          </a:prstGeom>
                          <a:noFill/>
                        </pic:spPr>
                      </pic:pic>
                    </a:graphicData>
                  </a:graphic>
                </wp:anchor>
              </w:drawing>
            </w:r>
          </w:p>
        </w:tc>
      </w:tr>
      <w:tr w:rsidR="007C7D61" w:rsidRPr="00FB68B3" w14:paraId="7F95CA2F" w14:textId="77777777" w:rsidTr="00D0475A">
        <w:tc>
          <w:tcPr>
            <w:tcW w:w="5000" w:type="pct"/>
            <w:hideMark/>
          </w:tcPr>
          <w:p w14:paraId="372C59B8" w14:textId="77777777" w:rsidR="00D0475A" w:rsidRPr="00147930" w:rsidRDefault="00726A9F">
            <w:pPr>
              <w:pStyle w:val="Contact"/>
            </w:pPr>
            <w:r>
              <w:rPr>
                <w:bCs/>
                <w:iCs w:val="0"/>
                <w:lang w:val="fr-FR"/>
              </w:rPr>
              <w:t>Votre contact :</w:t>
            </w:r>
          </w:p>
          <w:p w14:paraId="3B7AAFED" w14:textId="77777777" w:rsidR="00535EB6" w:rsidRPr="00726A9F" w:rsidRDefault="00726A9F" w:rsidP="00535EB6">
            <w:pPr>
              <w:pStyle w:val="Continuoustext"/>
              <w:rPr>
                <w:color w:val="auto"/>
                <w:lang w:val="en-US"/>
              </w:rPr>
            </w:pPr>
            <w:r>
              <w:rPr>
                <w:color w:val="auto"/>
                <w:lang w:val="fr-FR"/>
              </w:rPr>
              <w:t>Lisette Hausser</w:t>
            </w:r>
            <w:r>
              <w:rPr>
                <w:color w:val="auto"/>
                <w:lang w:val="fr-FR"/>
              </w:rPr>
              <w:br/>
              <w:t>Téléphone : +49 711 61946-85</w:t>
            </w:r>
            <w:r>
              <w:rPr>
                <w:color w:val="auto"/>
                <w:lang w:val="fr-FR"/>
              </w:rPr>
              <w:br/>
              <w:t>lisette.hausser@mesago.com</w:t>
            </w:r>
          </w:p>
          <w:p w14:paraId="6CBBE6E5" w14:textId="77777777" w:rsidR="00D0475A" w:rsidRDefault="00726A9F">
            <w:pPr>
              <w:pStyle w:val="Continuoustext"/>
            </w:pPr>
            <w:r w:rsidRPr="00672009">
              <w:t>Mesago Messe Frankfurt GmbH</w:t>
            </w:r>
            <w:r w:rsidRPr="00672009">
              <w:br/>
              <w:t>Rotebühlstraße 83-85</w:t>
            </w:r>
            <w:r w:rsidRPr="00672009">
              <w:br/>
              <w:t xml:space="preserve">D-70178 Stuttgart – </w:t>
            </w:r>
            <w:proofErr w:type="spellStart"/>
            <w:r w:rsidRPr="00672009">
              <w:t>Allemagne</w:t>
            </w:r>
            <w:proofErr w:type="spellEnd"/>
            <w:r w:rsidRPr="00672009">
              <w:br/>
            </w:r>
            <w:hyperlink r:id="rId12" w:history="1">
              <w:r w:rsidR="00D0475A" w:rsidRPr="00672009">
                <w:rPr>
                  <w:rStyle w:val="Hyperlink"/>
                </w:rPr>
                <w:t>www.mesago.com</w:t>
              </w:r>
            </w:hyperlink>
          </w:p>
        </w:tc>
      </w:tr>
    </w:tbl>
    <w:p w14:paraId="3F331816" w14:textId="77777777" w:rsidR="00726A9F" w:rsidRPr="00672009" w:rsidRDefault="00726A9F" w:rsidP="00726A9F">
      <w:pPr>
        <w:rPr>
          <w:rFonts w:asciiTheme="majorHAnsi" w:eastAsia="Times New Roman" w:hAnsiTheme="majorHAnsi" w:cstheme="majorBidi"/>
          <w:b/>
          <w:iCs/>
          <w:lang w:val="fr-FR"/>
        </w:rPr>
      </w:pPr>
      <w:r w:rsidRPr="00672009">
        <w:rPr>
          <w:rFonts w:asciiTheme="majorHAnsi" w:eastAsia="Times New Roman" w:hAnsiTheme="majorHAnsi" w:cstheme="majorBidi"/>
          <w:b/>
          <w:iCs/>
          <w:lang w:val="fr-FR"/>
        </w:rPr>
        <w:t>À propos de Mesago Messe Frankfurt</w:t>
      </w:r>
    </w:p>
    <w:p w14:paraId="262FE793" w14:textId="77777777" w:rsidR="00726A9F" w:rsidRPr="00672009" w:rsidRDefault="00726A9F" w:rsidP="00726A9F">
      <w:pPr>
        <w:rPr>
          <w:rFonts w:ascii="Arial" w:hAnsi="Arial" w:cs="Arial"/>
          <w:lang w:val="fr-FR"/>
        </w:rPr>
      </w:pPr>
      <w:r w:rsidRPr="00672009">
        <w:rPr>
          <w:rFonts w:ascii="Arial" w:hAnsi="Arial" w:cs="Arial"/>
          <w:lang w:val="fr-FR"/>
        </w:rPr>
        <w:t xml:space="preserve">Mesago, dont le siège se trouve à Stuttgart, a été fondé en 1982 et organise des salons, congrès et séminaires ciblés, essentiellement axés sur la technologie. </w:t>
      </w:r>
      <w:r w:rsidRPr="000F7328">
        <w:rPr>
          <w:rFonts w:ascii="Arial" w:hAnsi="Arial" w:cs="Arial"/>
          <w:lang w:val="fr-FR"/>
        </w:rPr>
        <w:t xml:space="preserve">L’entreprise fait partie de Messe Frankfurt Group. Mesago opère à l’échelle internationale, sans lien avec un lieu géographique précis, et organise chaque année, avec 160 collaborateurs, des salons et congrès pouvant réunir plus de 3 300 exposants et accueillir quelque 110 000 visiteurs professionnels, congressistes et intervenants. Un grand nombre d’associations, maisons d’édition, instituts scientifiques et universités sont unis par des liens très étroits aux événements organisés par Mesago, en qualité de vecteurs d’idées, co-organisateurs et partenaires. </w:t>
      </w:r>
      <w:r w:rsidRPr="00672009">
        <w:rPr>
          <w:rFonts w:ascii="Arial" w:hAnsi="Arial" w:cs="Arial"/>
          <w:lang w:val="fr-FR"/>
        </w:rPr>
        <w:t>(</w:t>
      </w:r>
      <w:proofErr w:type="gramStart"/>
      <w:r w:rsidRPr="00672009">
        <w:rPr>
          <w:rFonts w:ascii="Arial" w:hAnsi="Arial" w:cs="Arial"/>
          <w:lang w:val="fr-FR"/>
        </w:rPr>
        <w:t>mesago.com</w:t>
      </w:r>
      <w:proofErr w:type="gramEnd"/>
      <w:r w:rsidRPr="00672009">
        <w:rPr>
          <w:rFonts w:ascii="Arial" w:hAnsi="Arial" w:cs="Arial"/>
          <w:lang w:val="fr-FR"/>
        </w:rPr>
        <w:t>)</w:t>
      </w:r>
    </w:p>
    <w:p w14:paraId="307A7BF7" w14:textId="77777777" w:rsidR="00D57F11" w:rsidRPr="00672009" w:rsidRDefault="00726A9F" w:rsidP="00D57F11">
      <w:pPr>
        <w:rPr>
          <w:rFonts w:asciiTheme="majorHAnsi" w:eastAsia="Times New Roman" w:hAnsiTheme="majorHAnsi" w:cstheme="majorBidi"/>
          <w:b/>
          <w:iCs/>
          <w:vanish/>
          <w:lang w:val="fr-FR"/>
        </w:rPr>
      </w:pPr>
      <w:r w:rsidRPr="00672009">
        <w:rPr>
          <w:rFonts w:asciiTheme="majorHAnsi" w:eastAsia="Times New Roman" w:hAnsiTheme="majorHAnsi" w:cstheme="majorBidi"/>
          <w:b/>
          <w:bCs/>
          <w:vanish/>
          <w:lang w:val="fr-FR"/>
        </w:rPr>
        <w:t>À propos de Mesago Messe Frankfurt</w:t>
      </w:r>
    </w:p>
    <w:p w14:paraId="65F27531" w14:textId="77777777" w:rsidR="00F26552" w:rsidRPr="00672009" w:rsidRDefault="00726A9F" w:rsidP="00D57F11">
      <w:pPr>
        <w:rPr>
          <w:rFonts w:asciiTheme="majorHAnsi" w:hAnsiTheme="majorHAnsi" w:cs="Arial"/>
          <w:vanish/>
          <w:lang w:val="fr-FR"/>
        </w:rPr>
      </w:pPr>
      <w:r w:rsidRPr="00672009">
        <w:rPr>
          <w:rFonts w:asciiTheme="majorHAnsi" w:hAnsiTheme="majorHAnsi" w:cs="Arial"/>
          <w:vanish/>
          <w:lang w:val="fr-FR"/>
        </w:rPr>
        <w:t>Mesago, dont le siège se trouve à Stuttgart, a été fondé en 1982 et organise des salons, congrès et séminaires ciblés, essentiellement axés sur la technologie. L’entreprise fait partie de Messe Frankfurt Group. Mesago opère à l’échelle internationale, sans lien avec un lieu géographique précis, et organise chaque année, avec 160 collaborateurs, des salons et congrès pouvant réunir plus de 3 300 exposants et accueillir quelque 110 000 visiteurs professionnels, congressistes et intervenants. Un grand nombre d’associations, maisons d’édition, instituts scientifiques et universités sont unis par des liens très étroits aux événements organisés par Mesago, en qualité de vecteurs d’idées, co-organisateurs et partenaires. (mesago.com)</w:t>
      </w:r>
    </w:p>
    <w:p w14:paraId="2186B710" w14:textId="77777777" w:rsidR="00F26552" w:rsidRPr="00672009" w:rsidRDefault="00F26552" w:rsidP="00D57F11">
      <w:pPr>
        <w:rPr>
          <w:rFonts w:ascii="Arial" w:hAnsi="Arial" w:cs="Arial"/>
          <w:lang w:val="fr-FR"/>
        </w:rPr>
      </w:pPr>
    </w:p>
    <w:p w14:paraId="4829A79F" w14:textId="77777777" w:rsidR="00D0475A" w:rsidRPr="00672009" w:rsidRDefault="00726A9F" w:rsidP="00F26552">
      <w:pPr>
        <w:rPr>
          <w:rFonts w:eastAsia="Times New Roman"/>
          <w:b/>
          <w:bCs/>
          <w:lang w:val="fr-FR"/>
        </w:rPr>
      </w:pPr>
      <w:r>
        <w:rPr>
          <w:rFonts w:eastAsia="Times New Roman"/>
          <w:b/>
          <w:bCs/>
          <w:lang w:val="fr-FR"/>
        </w:rPr>
        <w:t>Informations générales sur Messe Frankfurt</w:t>
      </w:r>
    </w:p>
    <w:p w14:paraId="01104B31" w14:textId="77777777" w:rsidR="00D0475A" w:rsidRPr="00672009" w:rsidRDefault="00FB68B3" w:rsidP="00D0475A">
      <w:pPr>
        <w:pStyle w:val="Continuoustext"/>
        <w:rPr>
          <w:rStyle w:val="Hyperlink"/>
          <w:lang w:val="fr-FR"/>
        </w:rPr>
      </w:pPr>
      <w:hyperlink r:id="rId13" w:history="1">
        <w:r w:rsidR="00D0475A">
          <w:rPr>
            <w:rStyle w:val="Hyperlink"/>
            <w:lang w:val="fr-FR"/>
          </w:rPr>
          <w:t>www.messefrankfurt.com/hintergrundinformation</w:t>
        </w:r>
      </w:hyperlink>
    </w:p>
    <w:p w14:paraId="692154C4" w14:textId="77777777" w:rsidR="00D0475A" w:rsidRPr="00672009" w:rsidRDefault="00726A9F" w:rsidP="00D0475A">
      <w:pPr>
        <w:pStyle w:val="berschrift4"/>
        <w:rPr>
          <w:rFonts w:eastAsia="Times New Roman"/>
          <w:lang w:val="fr-FR"/>
        </w:rPr>
      </w:pPr>
      <w:r>
        <w:rPr>
          <w:rFonts w:eastAsia="Times New Roman"/>
          <w:bCs/>
          <w:iCs w:val="0"/>
          <w:lang w:val="fr-FR"/>
        </w:rPr>
        <w:t>Durabilité chez Messe Frankfurt</w:t>
      </w:r>
    </w:p>
    <w:p w14:paraId="3EBDC55C" w14:textId="77777777" w:rsidR="00D0475A" w:rsidRPr="00672009" w:rsidRDefault="00FB68B3" w:rsidP="00D0475A">
      <w:pPr>
        <w:pStyle w:val="Continuoustext"/>
        <w:rPr>
          <w:lang w:val="fr-FR"/>
        </w:rPr>
      </w:pPr>
      <w:hyperlink r:id="rId14" w:history="1">
        <w:r w:rsidR="00D0475A">
          <w:rPr>
            <w:rStyle w:val="Hyperlink"/>
            <w:lang w:val="fr-FR"/>
          </w:rPr>
          <w:t>www.messefrankfurt.com/sustainability-information</w:t>
        </w:r>
      </w:hyperlink>
    </w:p>
    <w:p w14:paraId="11493DC8" w14:textId="77777777" w:rsidR="00B36757" w:rsidRPr="00672009" w:rsidRDefault="00B36757" w:rsidP="00B36757">
      <w:pPr>
        <w:pStyle w:val="Continuoustext"/>
        <w:rPr>
          <w:lang w:val="fr-FR"/>
        </w:rPr>
      </w:pPr>
    </w:p>
    <w:sectPr w:rsidR="00B36757" w:rsidRPr="006720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56E"/>
    <w:multiLevelType w:val="hybridMultilevel"/>
    <w:tmpl w:val="36A4B7BC"/>
    <w:lvl w:ilvl="0" w:tplc="2A7C3376">
      <w:start w:val="1"/>
      <w:numFmt w:val="bullet"/>
      <w:lvlText w:val=""/>
      <w:lvlJc w:val="left"/>
      <w:pPr>
        <w:ind w:left="1440" w:hanging="360"/>
      </w:pPr>
      <w:rPr>
        <w:rFonts w:ascii="Symbol" w:hAnsi="Symbol"/>
      </w:rPr>
    </w:lvl>
    <w:lvl w:ilvl="1" w:tplc="BDBC877A">
      <w:start w:val="1"/>
      <w:numFmt w:val="bullet"/>
      <w:lvlText w:val=""/>
      <w:lvlJc w:val="left"/>
      <w:pPr>
        <w:ind w:left="1440" w:hanging="360"/>
      </w:pPr>
      <w:rPr>
        <w:rFonts w:ascii="Symbol" w:hAnsi="Symbol"/>
      </w:rPr>
    </w:lvl>
    <w:lvl w:ilvl="2" w:tplc="C7267378">
      <w:start w:val="1"/>
      <w:numFmt w:val="bullet"/>
      <w:lvlText w:val=""/>
      <w:lvlJc w:val="left"/>
      <w:pPr>
        <w:ind w:left="1440" w:hanging="360"/>
      </w:pPr>
      <w:rPr>
        <w:rFonts w:ascii="Symbol" w:hAnsi="Symbol"/>
      </w:rPr>
    </w:lvl>
    <w:lvl w:ilvl="3" w:tplc="4AE47D80">
      <w:start w:val="1"/>
      <w:numFmt w:val="bullet"/>
      <w:lvlText w:val=""/>
      <w:lvlJc w:val="left"/>
      <w:pPr>
        <w:ind w:left="1440" w:hanging="360"/>
      </w:pPr>
      <w:rPr>
        <w:rFonts w:ascii="Symbol" w:hAnsi="Symbol"/>
      </w:rPr>
    </w:lvl>
    <w:lvl w:ilvl="4" w:tplc="0EB23146">
      <w:start w:val="1"/>
      <w:numFmt w:val="bullet"/>
      <w:lvlText w:val=""/>
      <w:lvlJc w:val="left"/>
      <w:pPr>
        <w:ind w:left="1440" w:hanging="360"/>
      </w:pPr>
      <w:rPr>
        <w:rFonts w:ascii="Symbol" w:hAnsi="Symbol"/>
      </w:rPr>
    </w:lvl>
    <w:lvl w:ilvl="5" w:tplc="C1A2F21C">
      <w:start w:val="1"/>
      <w:numFmt w:val="bullet"/>
      <w:lvlText w:val=""/>
      <w:lvlJc w:val="left"/>
      <w:pPr>
        <w:ind w:left="1440" w:hanging="360"/>
      </w:pPr>
      <w:rPr>
        <w:rFonts w:ascii="Symbol" w:hAnsi="Symbol"/>
      </w:rPr>
    </w:lvl>
    <w:lvl w:ilvl="6" w:tplc="AB50BA02">
      <w:start w:val="1"/>
      <w:numFmt w:val="bullet"/>
      <w:lvlText w:val=""/>
      <w:lvlJc w:val="left"/>
      <w:pPr>
        <w:ind w:left="1440" w:hanging="360"/>
      </w:pPr>
      <w:rPr>
        <w:rFonts w:ascii="Symbol" w:hAnsi="Symbol"/>
      </w:rPr>
    </w:lvl>
    <w:lvl w:ilvl="7" w:tplc="69DCB478">
      <w:start w:val="1"/>
      <w:numFmt w:val="bullet"/>
      <w:lvlText w:val=""/>
      <w:lvlJc w:val="left"/>
      <w:pPr>
        <w:ind w:left="1440" w:hanging="360"/>
      </w:pPr>
      <w:rPr>
        <w:rFonts w:ascii="Symbol" w:hAnsi="Symbol"/>
      </w:rPr>
    </w:lvl>
    <w:lvl w:ilvl="8" w:tplc="D40A0FB8">
      <w:start w:val="1"/>
      <w:numFmt w:val="bullet"/>
      <w:lvlText w:val=""/>
      <w:lvlJc w:val="left"/>
      <w:pPr>
        <w:ind w:left="1440" w:hanging="360"/>
      </w:pPr>
      <w:rPr>
        <w:rFonts w:ascii="Symbol" w:hAnsi="Symbol"/>
      </w:rPr>
    </w:lvl>
  </w:abstractNum>
  <w:abstractNum w:abstractNumId="1" w15:restartNumberingAfterBreak="0">
    <w:nsid w:val="1C08285F"/>
    <w:multiLevelType w:val="hybridMultilevel"/>
    <w:tmpl w:val="07382C54"/>
    <w:lvl w:ilvl="0" w:tplc="B1801742">
      <w:start w:val="1"/>
      <w:numFmt w:val="bullet"/>
      <w:lvlText w:val=""/>
      <w:lvlJc w:val="left"/>
      <w:pPr>
        <w:ind w:left="1440" w:hanging="360"/>
      </w:pPr>
      <w:rPr>
        <w:rFonts w:ascii="Symbol" w:hAnsi="Symbol"/>
      </w:rPr>
    </w:lvl>
    <w:lvl w:ilvl="1" w:tplc="8B1AD17E">
      <w:start w:val="1"/>
      <w:numFmt w:val="bullet"/>
      <w:lvlText w:val=""/>
      <w:lvlJc w:val="left"/>
      <w:pPr>
        <w:ind w:left="1440" w:hanging="360"/>
      </w:pPr>
      <w:rPr>
        <w:rFonts w:ascii="Symbol" w:hAnsi="Symbol"/>
      </w:rPr>
    </w:lvl>
    <w:lvl w:ilvl="2" w:tplc="85102A9A">
      <w:start w:val="1"/>
      <w:numFmt w:val="bullet"/>
      <w:lvlText w:val=""/>
      <w:lvlJc w:val="left"/>
      <w:pPr>
        <w:ind w:left="1440" w:hanging="360"/>
      </w:pPr>
      <w:rPr>
        <w:rFonts w:ascii="Symbol" w:hAnsi="Symbol"/>
      </w:rPr>
    </w:lvl>
    <w:lvl w:ilvl="3" w:tplc="C3320ADC">
      <w:start w:val="1"/>
      <w:numFmt w:val="bullet"/>
      <w:lvlText w:val=""/>
      <w:lvlJc w:val="left"/>
      <w:pPr>
        <w:ind w:left="1440" w:hanging="360"/>
      </w:pPr>
      <w:rPr>
        <w:rFonts w:ascii="Symbol" w:hAnsi="Symbol"/>
      </w:rPr>
    </w:lvl>
    <w:lvl w:ilvl="4" w:tplc="E84EAA06">
      <w:start w:val="1"/>
      <w:numFmt w:val="bullet"/>
      <w:lvlText w:val=""/>
      <w:lvlJc w:val="left"/>
      <w:pPr>
        <w:ind w:left="1440" w:hanging="360"/>
      </w:pPr>
      <w:rPr>
        <w:rFonts w:ascii="Symbol" w:hAnsi="Symbol"/>
      </w:rPr>
    </w:lvl>
    <w:lvl w:ilvl="5" w:tplc="56486FA4">
      <w:start w:val="1"/>
      <w:numFmt w:val="bullet"/>
      <w:lvlText w:val=""/>
      <w:lvlJc w:val="left"/>
      <w:pPr>
        <w:ind w:left="1440" w:hanging="360"/>
      </w:pPr>
      <w:rPr>
        <w:rFonts w:ascii="Symbol" w:hAnsi="Symbol"/>
      </w:rPr>
    </w:lvl>
    <w:lvl w:ilvl="6" w:tplc="669E55DA">
      <w:start w:val="1"/>
      <w:numFmt w:val="bullet"/>
      <w:lvlText w:val=""/>
      <w:lvlJc w:val="left"/>
      <w:pPr>
        <w:ind w:left="1440" w:hanging="360"/>
      </w:pPr>
      <w:rPr>
        <w:rFonts w:ascii="Symbol" w:hAnsi="Symbol"/>
      </w:rPr>
    </w:lvl>
    <w:lvl w:ilvl="7" w:tplc="11C05254">
      <w:start w:val="1"/>
      <w:numFmt w:val="bullet"/>
      <w:lvlText w:val=""/>
      <w:lvlJc w:val="left"/>
      <w:pPr>
        <w:ind w:left="1440" w:hanging="360"/>
      </w:pPr>
      <w:rPr>
        <w:rFonts w:ascii="Symbol" w:hAnsi="Symbol"/>
      </w:rPr>
    </w:lvl>
    <w:lvl w:ilvl="8" w:tplc="C1601354">
      <w:start w:val="1"/>
      <w:numFmt w:val="bullet"/>
      <w:lvlText w:val=""/>
      <w:lvlJc w:val="left"/>
      <w:pPr>
        <w:ind w:left="1440" w:hanging="360"/>
      </w:pPr>
      <w:rPr>
        <w:rFonts w:ascii="Symbol" w:hAnsi="Symbol"/>
      </w:rPr>
    </w:lvl>
  </w:abstractNum>
  <w:abstractNum w:abstractNumId="2" w15:restartNumberingAfterBreak="0">
    <w:nsid w:val="1D1A2851"/>
    <w:multiLevelType w:val="hybridMultilevel"/>
    <w:tmpl w:val="13C8414C"/>
    <w:lvl w:ilvl="0" w:tplc="44E2F0D0">
      <w:numFmt w:val="bullet"/>
      <w:lvlText w:val="-"/>
      <w:lvlJc w:val="left"/>
      <w:pPr>
        <w:ind w:left="502" w:hanging="360"/>
      </w:pPr>
      <w:rPr>
        <w:rFonts w:ascii="Arial" w:eastAsiaTheme="minorHAnsi" w:hAnsi="Arial" w:cs="Arial" w:hint="default"/>
      </w:rPr>
    </w:lvl>
    <w:lvl w:ilvl="1" w:tplc="149616A8" w:tentative="1">
      <w:start w:val="1"/>
      <w:numFmt w:val="bullet"/>
      <w:lvlText w:val="o"/>
      <w:lvlJc w:val="left"/>
      <w:pPr>
        <w:ind w:left="1222" w:hanging="360"/>
      </w:pPr>
      <w:rPr>
        <w:rFonts w:ascii="Courier New" w:hAnsi="Courier New" w:cs="Courier New" w:hint="default"/>
      </w:rPr>
    </w:lvl>
    <w:lvl w:ilvl="2" w:tplc="9A1A59A0" w:tentative="1">
      <w:start w:val="1"/>
      <w:numFmt w:val="bullet"/>
      <w:lvlText w:val=""/>
      <w:lvlJc w:val="left"/>
      <w:pPr>
        <w:ind w:left="1942" w:hanging="360"/>
      </w:pPr>
      <w:rPr>
        <w:rFonts w:ascii="Wingdings" w:hAnsi="Wingdings" w:hint="default"/>
      </w:rPr>
    </w:lvl>
    <w:lvl w:ilvl="3" w:tplc="B0D6B59A" w:tentative="1">
      <w:start w:val="1"/>
      <w:numFmt w:val="bullet"/>
      <w:lvlText w:val=""/>
      <w:lvlJc w:val="left"/>
      <w:pPr>
        <w:ind w:left="2662" w:hanging="360"/>
      </w:pPr>
      <w:rPr>
        <w:rFonts w:ascii="Symbol" w:hAnsi="Symbol" w:hint="default"/>
      </w:rPr>
    </w:lvl>
    <w:lvl w:ilvl="4" w:tplc="89DAEC62" w:tentative="1">
      <w:start w:val="1"/>
      <w:numFmt w:val="bullet"/>
      <w:lvlText w:val="o"/>
      <w:lvlJc w:val="left"/>
      <w:pPr>
        <w:ind w:left="3382" w:hanging="360"/>
      </w:pPr>
      <w:rPr>
        <w:rFonts w:ascii="Courier New" w:hAnsi="Courier New" w:cs="Courier New" w:hint="default"/>
      </w:rPr>
    </w:lvl>
    <w:lvl w:ilvl="5" w:tplc="172C415A" w:tentative="1">
      <w:start w:val="1"/>
      <w:numFmt w:val="bullet"/>
      <w:lvlText w:val=""/>
      <w:lvlJc w:val="left"/>
      <w:pPr>
        <w:ind w:left="4102" w:hanging="360"/>
      </w:pPr>
      <w:rPr>
        <w:rFonts w:ascii="Wingdings" w:hAnsi="Wingdings" w:hint="default"/>
      </w:rPr>
    </w:lvl>
    <w:lvl w:ilvl="6" w:tplc="9306DC32" w:tentative="1">
      <w:start w:val="1"/>
      <w:numFmt w:val="bullet"/>
      <w:lvlText w:val=""/>
      <w:lvlJc w:val="left"/>
      <w:pPr>
        <w:ind w:left="4822" w:hanging="360"/>
      </w:pPr>
      <w:rPr>
        <w:rFonts w:ascii="Symbol" w:hAnsi="Symbol" w:hint="default"/>
      </w:rPr>
    </w:lvl>
    <w:lvl w:ilvl="7" w:tplc="F0A8DFF8" w:tentative="1">
      <w:start w:val="1"/>
      <w:numFmt w:val="bullet"/>
      <w:lvlText w:val="o"/>
      <w:lvlJc w:val="left"/>
      <w:pPr>
        <w:ind w:left="5542" w:hanging="360"/>
      </w:pPr>
      <w:rPr>
        <w:rFonts w:ascii="Courier New" w:hAnsi="Courier New" w:cs="Courier New" w:hint="default"/>
      </w:rPr>
    </w:lvl>
    <w:lvl w:ilvl="8" w:tplc="EAC8C270" w:tentative="1">
      <w:start w:val="1"/>
      <w:numFmt w:val="bullet"/>
      <w:lvlText w:val=""/>
      <w:lvlJc w:val="left"/>
      <w:pPr>
        <w:ind w:left="6262" w:hanging="360"/>
      </w:pPr>
      <w:rPr>
        <w:rFonts w:ascii="Wingdings" w:hAnsi="Wingdings" w:hint="default"/>
      </w:rPr>
    </w:lvl>
  </w:abstractNum>
  <w:abstractNum w:abstractNumId="3" w15:restartNumberingAfterBreak="0">
    <w:nsid w:val="41EB1017"/>
    <w:multiLevelType w:val="hybridMultilevel"/>
    <w:tmpl w:val="DE54D77E"/>
    <w:lvl w:ilvl="0" w:tplc="68F4CF9A">
      <w:start w:val="1"/>
      <w:numFmt w:val="bullet"/>
      <w:lvlText w:val=""/>
      <w:lvlJc w:val="left"/>
      <w:pPr>
        <w:ind w:left="1440" w:hanging="360"/>
      </w:pPr>
      <w:rPr>
        <w:rFonts w:ascii="Symbol" w:hAnsi="Symbol"/>
      </w:rPr>
    </w:lvl>
    <w:lvl w:ilvl="1" w:tplc="EFEA9BCE">
      <w:start w:val="1"/>
      <w:numFmt w:val="bullet"/>
      <w:lvlText w:val=""/>
      <w:lvlJc w:val="left"/>
      <w:pPr>
        <w:ind w:left="1440" w:hanging="360"/>
      </w:pPr>
      <w:rPr>
        <w:rFonts w:ascii="Symbol" w:hAnsi="Symbol"/>
      </w:rPr>
    </w:lvl>
    <w:lvl w:ilvl="2" w:tplc="CE44B768">
      <w:start w:val="1"/>
      <w:numFmt w:val="bullet"/>
      <w:lvlText w:val=""/>
      <w:lvlJc w:val="left"/>
      <w:pPr>
        <w:ind w:left="1440" w:hanging="360"/>
      </w:pPr>
      <w:rPr>
        <w:rFonts w:ascii="Symbol" w:hAnsi="Symbol"/>
      </w:rPr>
    </w:lvl>
    <w:lvl w:ilvl="3" w:tplc="BE729E82">
      <w:start w:val="1"/>
      <w:numFmt w:val="bullet"/>
      <w:lvlText w:val=""/>
      <w:lvlJc w:val="left"/>
      <w:pPr>
        <w:ind w:left="1440" w:hanging="360"/>
      </w:pPr>
      <w:rPr>
        <w:rFonts w:ascii="Symbol" w:hAnsi="Symbol"/>
      </w:rPr>
    </w:lvl>
    <w:lvl w:ilvl="4" w:tplc="8A487FB2">
      <w:start w:val="1"/>
      <w:numFmt w:val="bullet"/>
      <w:lvlText w:val=""/>
      <w:lvlJc w:val="left"/>
      <w:pPr>
        <w:ind w:left="1440" w:hanging="360"/>
      </w:pPr>
      <w:rPr>
        <w:rFonts w:ascii="Symbol" w:hAnsi="Symbol"/>
      </w:rPr>
    </w:lvl>
    <w:lvl w:ilvl="5" w:tplc="6308BECE">
      <w:start w:val="1"/>
      <w:numFmt w:val="bullet"/>
      <w:lvlText w:val=""/>
      <w:lvlJc w:val="left"/>
      <w:pPr>
        <w:ind w:left="1440" w:hanging="360"/>
      </w:pPr>
      <w:rPr>
        <w:rFonts w:ascii="Symbol" w:hAnsi="Symbol"/>
      </w:rPr>
    </w:lvl>
    <w:lvl w:ilvl="6" w:tplc="7E88856A">
      <w:start w:val="1"/>
      <w:numFmt w:val="bullet"/>
      <w:lvlText w:val=""/>
      <w:lvlJc w:val="left"/>
      <w:pPr>
        <w:ind w:left="1440" w:hanging="360"/>
      </w:pPr>
      <w:rPr>
        <w:rFonts w:ascii="Symbol" w:hAnsi="Symbol"/>
      </w:rPr>
    </w:lvl>
    <w:lvl w:ilvl="7" w:tplc="C7B872D0">
      <w:start w:val="1"/>
      <w:numFmt w:val="bullet"/>
      <w:lvlText w:val=""/>
      <w:lvlJc w:val="left"/>
      <w:pPr>
        <w:ind w:left="1440" w:hanging="360"/>
      </w:pPr>
      <w:rPr>
        <w:rFonts w:ascii="Symbol" w:hAnsi="Symbol"/>
      </w:rPr>
    </w:lvl>
    <w:lvl w:ilvl="8" w:tplc="363CEB28">
      <w:start w:val="1"/>
      <w:numFmt w:val="bullet"/>
      <w:lvlText w:val=""/>
      <w:lvlJc w:val="left"/>
      <w:pPr>
        <w:ind w:left="1440" w:hanging="360"/>
      </w:pPr>
      <w:rPr>
        <w:rFonts w:ascii="Symbol" w:hAnsi="Symbol"/>
      </w:rPr>
    </w:lvl>
  </w:abstractNum>
  <w:abstractNum w:abstractNumId="4" w15:restartNumberingAfterBreak="0">
    <w:nsid w:val="539007E5"/>
    <w:multiLevelType w:val="hybridMultilevel"/>
    <w:tmpl w:val="02D027EE"/>
    <w:lvl w:ilvl="0" w:tplc="0658D448">
      <w:start w:val="1"/>
      <w:numFmt w:val="bullet"/>
      <w:lvlText w:val=""/>
      <w:lvlJc w:val="left"/>
      <w:pPr>
        <w:ind w:left="1440" w:hanging="360"/>
      </w:pPr>
      <w:rPr>
        <w:rFonts w:ascii="Symbol" w:hAnsi="Symbol"/>
      </w:rPr>
    </w:lvl>
    <w:lvl w:ilvl="1" w:tplc="764CB84C">
      <w:start w:val="1"/>
      <w:numFmt w:val="bullet"/>
      <w:lvlText w:val=""/>
      <w:lvlJc w:val="left"/>
      <w:pPr>
        <w:ind w:left="1440" w:hanging="360"/>
      </w:pPr>
      <w:rPr>
        <w:rFonts w:ascii="Symbol" w:hAnsi="Symbol"/>
      </w:rPr>
    </w:lvl>
    <w:lvl w:ilvl="2" w:tplc="D338C700">
      <w:start w:val="1"/>
      <w:numFmt w:val="bullet"/>
      <w:lvlText w:val=""/>
      <w:lvlJc w:val="left"/>
      <w:pPr>
        <w:ind w:left="1440" w:hanging="360"/>
      </w:pPr>
      <w:rPr>
        <w:rFonts w:ascii="Symbol" w:hAnsi="Symbol"/>
      </w:rPr>
    </w:lvl>
    <w:lvl w:ilvl="3" w:tplc="045A584E">
      <w:start w:val="1"/>
      <w:numFmt w:val="bullet"/>
      <w:lvlText w:val=""/>
      <w:lvlJc w:val="left"/>
      <w:pPr>
        <w:ind w:left="1440" w:hanging="360"/>
      </w:pPr>
      <w:rPr>
        <w:rFonts w:ascii="Symbol" w:hAnsi="Symbol"/>
      </w:rPr>
    </w:lvl>
    <w:lvl w:ilvl="4" w:tplc="1A1CEE74">
      <w:start w:val="1"/>
      <w:numFmt w:val="bullet"/>
      <w:lvlText w:val=""/>
      <w:lvlJc w:val="left"/>
      <w:pPr>
        <w:ind w:left="1440" w:hanging="360"/>
      </w:pPr>
      <w:rPr>
        <w:rFonts w:ascii="Symbol" w:hAnsi="Symbol"/>
      </w:rPr>
    </w:lvl>
    <w:lvl w:ilvl="5" w:tplc="9BE40A7E">
      <w:start w:val="1"/>
      <w:numFmt w:val="bullet"/>
      <w:lvlText w:val=""/>
      <w:lvlJc w:val="left"/>
      <w:pPr>
        <w:ind w:left="1440" w:hanging="360"/>
      </w:pPr>
      <w:rPr>
        <w:rFonts w:ascii="Symbol" w:hAnsi="Symbol"/>
      </w:rPr>
    </w:lvl>
    <w:lvl w:ilvl="6" w:tplc="C7B032B2">
      <w:start w:val="1"/>
      <w:numFmt w:val="bullet"/>
      <w:lvlText w:val=""/>
      <w:lvlJc w:val="left"/>
      <w:pPr>
        <w:ind w:left="1440" w:hanging="360"/>
      </w:pPr>
      <w:rPr>
        <w:rFonts w:ascii="Symbol" w:hAnsi="Symbol"/>
      </w:rPr>
    </w:lvl>
    <w:lvl w:ilvl="7" w:tplc="26F25520">
      <w:start w:val="1"/>
      <w:numFmt w:val="bullet"/>
      <w:lvlText w:val=""/>
      <w:lvlJc w:val="left"/>
      <w:pPr>
        <w:ind w:left="1440" w:hanging="360"/>
      </w:pPr>
      <w:rPr>
        <w:rFonts w:ascii="Symbol" w:hAnsi="Symbol"/>
      </w:rPr>
    </w:lvl>
    <w:lvl w:ilvl="8" w:tplc="00146D8C">
      <w:start w:val="1"/>
      <w:numFmt w:val="bullet"/>
      <w:lvlText w:val=""/>
      <w:lvlJc w:val="left"/>
      <w:pPr>
        <w:ind w:left="1440" w:hanging="360"/>
      </w:pPr>
      <w:rPr>
        <w:rFonts w:ascii="Symbol" w:hAnsi="Symbol"/>
      </w:rPr>
    </w:lvl>
  </w:abstractNum>
  <w:abstractNum w:abstractNumId="5" w15:restartNumberingAfterBreak="0">
    <w:nsid w:val="75DA0493"/>
    <w:multiLevelType w:val="hybridMultilevel"/>
    <w:tmpl w:val="3E4AF70E"/>
    <w:lvl w:ilvl="0" w:tplc="257A2962">
      <w:start w:val="1"/>
      <w:numFmt w:val="bullet"/>
      <w:lvlText w:val=""/>
      <w:lvlJc w:val="left"/>
      <w:pPr>
        <w:ind w:left="1440" w:hanging="360"/>
      </w:pPr>
      <w:rPr>
        <w:rFonts w:ascii="Symbol" w:hAnsi="Symbol"/>
      </w:rPr>
    </w:lvl>
    <w:lvl w:ilvl="1" w:tplc="E4CE3E94">
      <w:start w:val="1"/>
      <w:numFmt w:val="bullet"/>
      <w:lvlText w:val=""/>
      <w:lvlJc w:val="left"/>
      <w:pPr>
        <w:ind w:left="1440" w:hanging="360"/>
      </w:pPr>
      <w:rPr>
        <w:rFonts w:ascii="Symbol" w:hAnsi="Symbol"/>
      </w:rPr>
    </w:lvl>
    <w:lvl w:ilvl="2" w:tplc="376C874A">
      <w:start w:val="1"/>
      <w:numFmt w:val="bullet"/>
      <w:lvlText w:val=""/>
      <w:lvlJc w:val="left"/>
      <w:pPr>
        <w:ind w:left="1440" w:hanging="360"/>
      </w:pPr>
      <w:rPr>
        <w:rFonts w:ascii="Symbol" w:hAnsi="Symbol"/>
      </w:rPr>
    </w:lvl>
    <w:lvl w:ilvl="3" w:tplc="BA40E2E2">
      <w:start w:val="1"/>
      <w:numFmt w:val="bullet"/>
      <w:lvlText w:val=""/>
      <w:lvlJc w:val="left"/>
      <w:pPr>
        <w:ind w:left="1440" w:hanging="360"/>
      </w:pPr>
      <w:rPr>
        <w:rFonts w:ascii="Symbol" w:hAnsi="Symbol"/>
      </w:rPr>
    </w:lvl>
    <w:lvl w:ilvl="4" w:tplc="949A73DC">
      <w:start w:val="1"/>
      <w:numFmt w:val="bullet"/>
      <w:lvlText w:val=""/>
      <w:lvlJc w:val="left"/>
      <w:pPr>
        <w:ind w:left="1440" w:hanging="360"/>
      </w:pPr>
      <w:rPr>
        <w:rFonts w:ascii="Symbol" w:hAnsi="Symbol"/>
      </w:rPr>
    </w:lvl>
    <w:lvl w:ilvl="5" w:tplc="2AE4DAEE">
      <w:start w:val="1"/>
      <w:numFmt w:val="bullet"/>
      <w:lvlText w:val=""/>
      <w:lvlJc w:val="left"/>
      <w:pPr>
        <w:ind w:left="1440" w:hanging="360"/>
      </w:pPr>
      <w:rPr>
        <w:rFonts w:ascii="Symbol" w:hAnsi="Symbol"/>
      </w:rPr>
    </w:lvl>
    <w:lvl w:ilvl="6" w:tplc="9812679A">
      <w:start w:val="1"/>
      <w:numFmt w:val="bullet"/>
      <w:lvlText w:val=""/>
      <w:lvlJc w:val="left"/>
      <w:pPr>
        <w:ind w:left="1440" w:hanging="360"/>
      </w:pPr>
      <w:rPr>
        <w:rFonts w:ascii="Symbol" w:hAnsi="Symbol"/>
      </w:rPr>
    </w:lvl>
    <w:lvl w:ilvl="7" w:tplc="1D304172">
      <w:start w:val="1"/>
      <w:numFmt w:val="bullet"/>
      <w:lvlText w:val=""/>
      <w:lvlJc w:val="left"/>
      <w:pPr>
        <w:ind w:left="1440" w:hanging="360"/>
      </w:pPr>
      <w:rPr>
        <w:rFonts w:ascii="Symbol" w:hAnsi="Symbol"/>
      </w:rPr>
    </w:lvl>
    <w:lvl w:ilvl="8" w:tplc="2D94DBAE">
      <w:start w:val="1"/>
      <w:numFmt w:val="bullet"/>
      <w:lvlText w:val=""/>
      <w:lvlJc w:val="left"/>
      <w:pPr>
        <w:ind w:left="1440" w:hanging="360"/>
      </w:pPr>
      <w:rPr>
        <w:rFonts w:ascii="Symbol" w:hAnsi="Symbol"/>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1797"/>
    <w:rsid w:val="000122EA"/>
    <w:rsid w:val="00012BD5"/>
    <w:rsid w:val="00020B1E"/>
    <w:rsid w:val="00020EB1"/>
    <w:rsid w:val="00022157"/>
    <w:rsid w:val="00027A61"/>
    <w:rsid w:val="00033AF3"/>
    <w:rsid w:val="00034F03"/>
    <w:rsid w:val="00046DE0"/>
    <w:rsid w:val="000573E5"/>
    <w:rsid w:val="00057A9D"/>
    <w:rsid w:val="00065AB1"/>
    <w:rsid w:val="00073479"/>
    <w:rsid w:val="00076FCE"/>
    <w:rsid w:val="000A0BA0"/>
    <w:rsid w:val="000A655B"/>
    <w:rsid w:val="000B08DA"/>
    <w:rsid w:val="000B6BB1"/>
    <w:rsid w:val="000C1D1B"/>
    <w:rsid w:val="000C3136"/>
    <w:rsid w:val="000C6772"/>
    <w:rsid w:val="000D5BFC"/>
    <w:rsid w:val="000D5D27"/>
    <w:rsid w:val="000D7791"/>
    <w:rsid w:val="000E084C"/>
    <w:rsid w:val="000E1C10"/>
    <w:rsid w:val="000E55AE"/>
    <w:rsid w:val="000E5B4C"/>
    <w:rsid w:val="000F2FF6"/>
    <w:rsid w:val="000F7328"/>
    <w:rsid w:val="00103341"/>
    <w:rsid w:val="00105788"/>
    <w:rsid w:val="00123F65"/>
    <w:rsid w:val="00131FFA"/>
    <w:rsid w:val="00132485"/>
    <w:rsid w:val="0013416B"/>
    <w:rsid w:val="00147930"/>
    <w:rsid w:val="0016419C"/>
    <w:rsid w:val="00166B37"/>
    <w:rsid w:val="0018796B"/>
    <w:rsid w:val="001939ED"/>
    <w:rsid w:val="001B6E66"/>
    <w:rsid w:val="001B70BE"/>
    <w:rsid w:val="001B75C6"/>
    <w:rsid w:val="001E1CF7"/>
    <w:rsid w:val="001F14E5"/>
    <w:rsid w:val="00216462"/>
    <w:rsid w:val="00221135"/>
    <w:rsid w:val="00222267"/>
    <w:rsid w:val="00226023"/>
    <w:rsid w:val="002264EA"/>
    <w:rsid w:val="0023133C"/>
    <w:rsid w:val="00231CDC"/>
    <w:rsid w:val="00240018"/>
    <w:rsid w:val="0024263C"/>
    <w:rsid w:val="0024291B"/>
    <w:rsid w:val="00242965"/>
    <w:rsid w:val="00245887"/>
    <w:rsid w:val="00246534"/>
    <w:rsid w:val="00247B78"/>
    <w:rsid w:val="002514D5"/>
    <w:rsid w:val="002757C9"/>
    <w:rsid w:val="00276934"/>
    <w:rsid w:val="00277A74"/>
    <w:rsid w:val="00281D02"/>
    <w:rsid w:val="00282497"/>
    <w:rsid w:val="002A0F7B"/>
    <w:rsid w:val="002A6877"/>
    <w:rsid w:val="002B1BE0"/>
    <w:rsid w:val="002C7048"/>
    <w:rsid w:val="002D23F5"/>
    <w:rsid w:val="002D28E4"/>
    <w:rsid w:val="002D4502"/>
    <w:rsid w:val="00307169"/>
    <w:rsid w:val="00314F7D"/>
    <w:rsid w:val="0031574B"/>
    <w:rsid w:val="003161AB"/>
    <w:rsid w:val="003179CF"/>
    <w:rsid w:val="003456B4"/>
    <w:rsid w:val="00350C00"/>
    <w:rsid w:val="003618BC"/>
    <w:rsid w:val="00363F18"/>
    <w:rsid w:val="00387700"/>
    <w:rsid w:val="003902B2"/>
    <w:rsid w:val="003A0342"/>
    <w:rsid w:val="003A2D40"/>
    <w:rsid w:val="003A4F8E"/>
    <w:rsid w:val="003B36B0"/>
    <w:rsid w:val="003B7489"/>
    <w:rsid w:val="003B7A47"/>
    <w:rsid w:val="003C4BD0"/>
    <w:rsid w:val="003C52C5"/>
    <w:rsid w:val="003D767A"/>
    <w:rsid w:val="003E4A92"/>
    <w:rsid w:val="003E5FA7"/>
    <w:rsid w:val="003F0B98"/>
    <w:rsid w:val="003F716F"/>
    <w:rsid w:val="004033E8"/>
    <w:rsid w:val="00412E39"/>
    <w:rsid w:val="00415AF7"/>
    <w:rsid w:val="00416C70"/>
    <w:rsid w:val="00422340"/>
    <w:rsid w:val="0042362C"/>
    <w:rsid w:val="00424857"/>
    <w:rsid w:val="0045113D"/>
    <w:rsid w:val="00467388"/>
    <w:rsid w:val="00471698"/>
    <w:rsid w:val="004722FD"/>
    <w:rsid w:val="004815A9"/>
    <w:rsid w:val="0048316E"/>
    <w:rsid w:val="00484385"/>
    <w:rsid w:val="0049137E"/>
    <w:rsid w:val="00493E4E"/>
    <w:rsid w:val="004A1916"/>
    <w:rsid w:val="004B604E"/>
    <w:rsid w:val="004D0724"/>
    <w:rsid w:val="004E015C"/>
    <w:rsid w:val="004E7C70"/>
    <w:rsid w:val="004F0F9D"/>
    <w:rsid w:val="004F1D64"/>
    <w:rsid w:val="00505759"/>
    <w:rsid w:val="00523505"/>
    <w:rsid w:val="00535EB6"/>
    <w:rsid w:val="00536FE2"/>
    <w:rsid w:val="00540045"/>
    <w:rsid w:val="00540244"/>
    <w:rsid w:val="0054598E"/>
    <w:rsid w:val="00552A74"/>
    <w:rsid w:val="00566B83"/>
    <w:rsid w:val="005676D2"/>
    <w:rsid w:val="005710E8"/>
    <w:rsid w:val="0057412A"/>
    <w:rsid w:val="0058253E"/>
    <w:rsid w:val="005855F0"/>
    <w:rsid w:val="005A13EF"/>
    <w:rsid w:val="005B2BAD"/>
    <w:rsid w:val="005B33FB"/>
    <w:rsid w:val="005E2785"/>
    <w:rsid w:val="005E3C63"/>
    <w:rsid w:val="006026D6"/>
    <w:rsid w:val="00604228"/>
    <w:rsid w:val="00616B8D"/>
    <w:rsid w:val="006241DE"/>
    <w:rsid w:val="00633CAD"/>
    <w:rsid w:val="00641AD8"/>
    <w:rsid w:val="00642B75"/>
    <w:rsid w:val="00652BF1"/>
    <w:rsid w:val="00657389"/>
    <w:rsid w:val="0066139E"/>
    <w:rsid w:val="00664077"/>
    <w:rsid w:val="00672009"/>
    <w:rsid w:val="00673621"/>
    <w:rsid w:val="006811F4"/>
    <w:rsid w:val="00696BE5"/>
    <w:rsid w:val="006A5D67"/>
    <w:rsid w:val="006A698F"/>
    <w:rsid w:val="006B152A"/>
    <w:rsid w:val="006C1E26"/>
    <w:rsid w:val="006C6DCE"/>
    <w:rsid w:val="006D7879"/>
    <w:rsid w:val="006E6CAE"/>
    <w:rsid w:val="006F08FC"/>
    <w:rsid w:val="006F55B9"/>
    <w:rsid w:val="00700DD9"/>
    <w:rsid w:val="00701D02"/>
    <w:rsid w:val="00710E0D"/>
    <w:rsid w:val="0071436A"/>
    <w:rsid w:val="00714D37"/>
    <w:rsid w:val="00726822"/>
    <w:rsid w:val="00726A9F"/>
    <w:rsid w:val="00732920"/>
    <w:rsid w:val="007364B0"/>
    <w:rsid w:val="0076139D"/>
    <w:rsid w:val="007616FE"/>
    <w:rsid w:val="00761B79"/>
    <w:rsid w:val="00765A75"/>
    <w:rsid w:val="00765F4E"/>
    <w:rsid w:val="00777BF2"/>
    <w:rsid w:val="0078718F"/>
    <w:rsid w:val="00793455"/>
    <w:rsid w:val="007B054A"/>
    <w:rsid w:val="007B2F67"/>
    <w:rsid w:val="007B3A1C"/>
    <w:rsid w:val="007C23F6"/>
    <w:rsid w:val="007C41C1"/>
    <w:rsid w:val="007C62B4"/>
    <w:rsid w:val="007C7D61"/>
    <w:rsid w:val="007D6943"/>
    <w:rsid w:val="007E7280"/>
    <w:rsid w:val="007F69A9"/>
    <w:rsid w:val="00804671"/>
    <w:rsid w:val="00807121"/>
    <w:rsid w:val="00807C5C"/>
    <w:rsid w:val="00823B7F"/>
    <w:rsid w:val="00830645"/>
    <w:rsid w:val="00835DAE"/>
    <w:rsid w:val="0084260E"/>
    <w:rsid w:val="00854A27"/>
    <w:rsid w:val="00867A39"/>
    <w:rsid w:val="00870708"/>
    <w:rsid w:val="008707A1"/>
    <w:rsid w:val="0088042D"/>
    <w:rsid w:val="0088102F"/>
    <w:rsid w:val="008A4738"/>
    <w:rsid w:val="008A5874"/>
    <w:rsid w:val="008C3601"/>
    <w:rsid w:val="008C479B"/>
    <w:rsid w:val="008D2A08"/>
    <w:rsid w:val="008D5680"/>
    <w:rsid w:val="008E4E88"/>
    <w:rsid w:val="008F02ED"/>
    <w:rsid w:val="008F7DA5"/>
    <w:rsid w:val="00902BC6"/>
    <w:rsid w:val="0090455A"/>
    <w:rsid w:val="009045C6"/>
    <w:rsid w:val="00905800"/>
    <w:rsid w:val="00906FFC"/>
    <w:rsid w:val="0091195F"/>
    <w:rsid w:val="009230D0"/>
    <w:rsid w:val="009349EF"/>
    <w:rsid w:val="00935F34"/>
    <w:rsid w:val="00936976"/>
    <w:rsid w:val="009373ED"/>
    <w:rsid w:val="00937762"/>
    <w:rsid w:val="00950D48"/>
    <w:rsid w:val="00950F1B"/>
    <w:rsid w:val="00954058"/>
    <w:rsid w:val="0096457E"/>
    <w:rsid w:val="00983C92"/>
    <w:rsid w:val="00992260"/>
    <w:rsid w:val="00995A0D"/>
    <w:rsid w:val="009A6630"/>
    <w:rsid w:val="009B0999"/>
    <w:rsid w:val="009B3394"/>
    <w:rsid w:val="009C0038"/>
    <w:rsid w:val="009E158B"/>
    <w:rsid w:val="009F0D32"/>
    <w:rsid w:val="00A00247"/>
    <w:rsid w:val="00A07A00"/>
    <w:rsid w:val="00A15BC8"/>
    <w:rsid w:val="00A27C32"/>
    <w:rsid w:val="00A3041E"/>
    <w:rsid w:val="00A331E4"/>
    <w:rsid w:val="00A3636D"/>
    <w:rsid w:val="00A53CAF"/>
    <w:rsid w:val="00A6749A"/>
    <w:rsid w:val="00A7018C"/>
    <w:rsid w:val="00A8036E"/>
    <w:rsid w:val="00A804FB"/>
    <w:rsid w:val="00A825A4"/>
    <w:rsid w:val="00A925F0"/>
    <w:rsid w:val="00AC7878"/>
    <w:rsid w:val="00AD1458"/>
    <w:rsid w:val="00AD541B"/>
    <w:rsid w:val="00AD7067"/>
    <w:rsid w:val="00AE7164"/>
    <w:rsid w:val="00AF2C83"/>
    <w:rsid w:val="00AF55EB"/>
    <w:rsid w:val="00B00511"/>
    <w:rsid w:val="00B02CED"/>
    <w:rsid w:val="00B0538E"/>
    <w:rsid w:val="00B06EE3"/>
    <w:rsid w:val="00B07DB8"/>
    <w:rsid w:val="00B159EC"/>
    <w:rsid w:val="00B23D7D"/>
    <w:rsid w:val="00B252B0"/>
    <w:rsid w:val="00B36757"/>
    <w:rsid w:val="00B77F61"/>
    <w:rsid w:val="00BA0462"/>
    <w:rsid w:val="00BA056D"/>
    <w:rsid w:val="00BA2BBF"/>
    <w:rsid w:val="00BA2D59"/>
    <w:rsid w:val="00BA479F"/>
    <w:rsid w:val="00BC00B6"/>
    <w:rsid w:val="00BC16F1"/>
    <w:rsid w:val="00BC268C"/>
    <w:rsid w:val="00BC765F"/>
    <w:rsid w:val="00BD3BA1"/>
    <w:rsid w:val="00BD3F97"/>
    <w:rsid w:val="00BE20F1"/>
    <w:rsid w:val="00BE3A4E"/>
    <w:rsid w:val="00BE6211"/>
    <w:rsid w:val="00C04433"/>
    <w:rsid w:val="00C06975"/>
    <w:rsid w:val="00C12A06"/>
    <w:rsid w:val="00C17FAD"/>
    <w:rsid w:val="00C25464"/>
    <w:rsid w:val="00C25FCC"/>
    <w:rsid w:val="00C2765B"/>
    <w:rsid w:val="00C35A1E"/>
    <w:rsid w:val="00C43C44"/>
    <w:rsid w:val="00C45A4E"/>
    <w:rsid w:val="00C51A11"/>
    <w:rsid w:val="00C5287E"/>
    <w:rsid w:val="00C55078"/>
    <w:rsid w:val="00C56C0A"/>
    <w:rsid w:val="00C7376C"/>
    <w:rsid w:val="00C81BE2"/>
    <w:rsid w:val="00C85550"/>
    <w:rsid w:val="00C91E76"/>
    <w:rsid w:val="00CB30D9"/>
    <w:rsid w:val="00CD0848"/>
    <w:rsid w:val="00CE3DF1"/>
    <w:rsid w:val="00CF138C"/>
    <w:rsid w:val="00D00796"/>
    <w:rsid w:val="00D01E50"/>
    <w:rsid w:val="00D0411E"/>
    <w:rsid w:val="00D0464C"/>
    <w:rsid w:val="00D0475A"/>
    <w:rsid w:val="00D22FE1"/>
    <w:rsid w:val="00D23043"/>
    <w:rsid w:val="00D24812"/>
    <w:rsid w:val="00D27EB6"/>
    <w:rsid w:val="00D33DE4"/>
    <w:rsid w:val="00D35108"/>
    <w:rsid w:val="00D37C53"/>
    <w:rsid w:val="00D425CB"/>
    <w:rsid w:val="00D450CD"/>
    <w:rsid w:val="00D452F3"/>
    <w:rsid w:val="00D455ED"/>
    <w:rsid w:val="00D513E4"/>
    <w:rsid w:val="00D51603"/>
    <w:rsid w:val="00D536AD"/>
    <w:rsid w:val="00D54056"/>
    <w:rsid w:val="00D57F11"/>
    <w:rsid w:val="00D67944"/>
    <w:rsid w:val="00D708BD"/>
    <w:rsid w:val="00D83AE9"/>
    <w:rsid w:val="00D9092E"/>
    <w:rsid w:val="00DA4681"/>
    <w:rsid w:val="00DA4A63"/>
    <w:rsid w:val="00DA6584"/>
    <w:rsid w:val="00DA7114"/>
    <w:rsid w:val="00DB6C39"/>
    <w:rsid w:val="00DB728F"/>
    <w:rsid w:val="00DC60FA"/>
    <w:rsid w:val="00DC6820"/>
    <w:rsid w:val="00DD41AC"/>
    <w:rsid w:val="00DE43EC"/>
    <w:rsid w:val="00DE4FD7"/>
    <w:rsid w:val="00E04E00"/>
    <w:rsid w:val="00E133DA"/>
    <w:rsid w:val="00E228FC"/>
    <w:rsid w:val="00E22976"/>
    <w:rsid w:val="00E31507"/>
    <w:rsid w:val="00E32257"/>
    <w:rsid w:val="00E323AF"/>
    <w:rsid w:val="00E35847"/>
    <w:rsid w:val="00E36F51"/>
    <w:rsid w:val="00E436CB"/>
    <w:rsid w:val="00E454F8"/>
    <w:rsid w:val="00E61C7B"/>
    <w:rsid w:val="00E67E2C"/>
    <w:rsid w:val="00E812A9"/>
    <w:rsid w:val="00E82225"/>
    <w:rsid w:val="00EA2B7F"/>
    <w:rsid w:val="00EC05B5"/>
    <w:rsid w:val="00EC0D60"/>
    <w:rsid w:val="00EC4C24"/>
    <w:rsid w:val="00EC6315"/>
    <w:rsid w:val="00ED0276"/>
    <w:rsid w:val="00ED1113"/>
    <w:rsid w:val="00ED77B9"/>
    <w:rsid w:val="00EE4AC1"/>
    <w:rsid w:val="00F02247"/>
    <w:rsid w:val="00F0256E"/>
    <w:rsid w:val="00F10929"/>
    <w:rsid w:val="00F11B29"/>
    <w:rsid w:val="00F164D8"/>
    <w:rsid w:val="00F26552"/>
    <w:rsid w:val="00F43D1B"/>
    <w:rsid w:val="00F46A8F"/>
    <w:rsid w:val="00F501FE"/>
    <w:rsid w:val="00F54D1F"/>
    <w:rsid w:val="00F6297C"/>
    <w:rsid w:val="00F75403"/>
    <w:rsid w:val="00F813C7"/>
    <w:rsid w:val="00F91F11"/>
    <w:rsid w:val="00F944A0"/>
    <w:rsid w:val="00FA3BD0"/>
    <w:rsid w:val="00FA6431"/>
    <w:rsid w:val="00FB0FB9"/>
    <w:rsid w:val="00FB68B3"/>
    <w:rsid w:val="00FC0C10"/>
    <w:rsid w:val="00FC21C1"/>
    <w:rsid w:val="00FC395B"/>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C9DC"/>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rsid w:val="004E015C"/>
    <w:pPr>
      <w:spacing w:line="240" w:lineRule="auto"/>
    </w:pPr>
    <w:rPr>
      <w:sz w:val="20"/>
      <w:szCs w:val="20"/>
    </w:rPr>
  </w:style>
  <w:style w:type="character" w:customStyle="1" w:styleId="KommentartextZchn">
    <w:name w:val="Kommentartext Zchn"/>
    <w:basedOn w:val="Absatz-Standardschriftart"/>
    <w:link w:val="Kommentartext"/>
    <w:uiPriority w:val="99"/>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essefrankfurt.com/frankfurt/de/presse/boilerplate.html" TargetMode="External"/><Relationship Id="rId3" Type="http://schemas.openxmlformats.org/officeDocument/2006/relationships/styles" Target="styles.xml"/><Relationship Id="rId7" Type="http://schemas.openxmlformats.org/officeDocument/2006/relationships/hyperlink" Target="https://pcim.mesago.com/events/de.html" TargetMode="External"/><Relationship Id="rId12" Type="http://schemas.openxmlformats.org/officeDocument/2006/relationships/hyperlink" Target="https://corporate.mesago.com/events/d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cim.mesago.com/nuernberg/en/press.html" TargetMode="Externa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hyperlink" Target="https://www.messefrankfurt.com/frankfurt/de/unternehmen/sustainability.html"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8730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Schuster, Silvia-Sarah (Mesago Stuttgart)</dc:creator>
  <cp:lastModifiedBy>Zimmermann, Leon</cp:lastModifiedBy>
  <cp:revision>4</cp:revision>
  <cp:lastPrinted>2023-09-12T11:06:00Z</cp:lastPrinted>
  <dcterms:created xsi:type="dcterms:W3CDTF">2025-04-11T07:35:00Z</dcterms:created>
  <dcterms:modified xsi:type="dcterms:W3CDTF">2025-04-15T07:18:00Z</dcterms:modified>
</cp:coreProperties>
</file>