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24BADD9C" w:rsidR="003902B2" w:rsidRPr="007C62B4" w:rsidRDefault="00985571" w:rsidP="003902B2">
            <w:pPr>
              <w:pStyle w:val="Continuoustext"/>
              <w:rPr>
                <w:lang w:val="en-US"/>
              </w:rPr>
            </w:pPr>
            <w:r>
              <w:rPr>
                <w:lang w:val="en-US"/>
              </w:rPr>
              <w:t>N</w:t>
            </w:r>
            <w:r w:rsidR="003902B2" w:rsidRPr="007C62B4">
              <w:rPr>
                <w:lang w:val="en-US"/>
              </w:rPr>
              <w:t xml:space="preserve">ews +++ </w:t>
            </w:r>
            <w:r w:rsidR="007C62B4" w:rsidRPr="007C62B4">
              <w:rPr>
                <w:lang w:val="en-US"/>
              </w:rPr>
              <w:t xml:space="preserve">PCIM </w:t>
            </w:r>
            <w:r w:rsidR="003902B2" w:rsidRPr="007C62B4">
              <w:rPr>
                <w:lang w:val="en-US"/>
              </w:rPr>
              <w:br/>
            </w:r>
            <w:r w:rsidR="007C62B4" w:rsidRPr="007C62B4">
              <w:rPr>
                <w:lang w:val="en-US"/>
              </w:rPr>
              <w:t>N</w:t>
            </w:r>
            <w:r>
              <w:rPr>
                <w:lang w:val="en-US"/>
              </w:rPr>
              <w:t>ü</w:t>
            </w:r>
            <w:r w:rsidR="007C62B4" w:rsidRPr="007C62B4">
              <w:rPr>
                <w:lang w:val="en-US"/>
              </w:rPr>
              <w:t>r</w:t>
            </w:r>
            <w:r>
              <w:rPr>
                <w:lang w:val="en-US"/>
              </w:rPr>
              <w:t>n</w:t>
            </w:r>
            <w:r w:rsidR="007C62B4" w:rsidRPr="007C62B4">
              <w:rPr>
                <w:lang w:val="en-US"/>
              </w:rPr>
              <w:t>berg</w:t>
            </w:r>
            <w:r w:rsidR="003902B2" w:rsidRPr="007C62B4">
              <w:rPr>
                <w:lang w:val="en-US"/>
              </w:rPr>
              <w:t xml:space="preserve">, </w:t>
            </w:r>
            <w:r w:rsidR="00C63ACF">
              <w:rPr>
                <w:lang w:val="en-US"/>
              </w:rPr>
              <w:t>0</w:t>
            </w:r>
            <w:r w:rsidR="002A03C2">
              <w:rPr>
                <w:lang w:val="en-US"/>
              </w:rPr>
              <w:t>9</w:t>
            </w:r>
            <w:r>
              <w:rPr>
                <w:lang w:val="en-US"/>
              </w:rPr>
              <w:t>.</w:t>
            </w:r>
            <w:r w:rsidR="001939ED" w:rsidRPr="007C62B4">
              <w:rPr>
                <w:lang w:val="en-US"/>
              </w:rPr>
              <w:t xml:space="preserve"> – </w:t>
            </w:r>
            <w:r w:rsidR="002A03C2">
              <w:rPr>
                <w:lang w:val="en-US"/>
              </w:rPr>
              <w:t>11</w:t>
            </w:r>
            <w:r>
              <w:rPr>
                <w:lang w:val="en-US"/>
              </w:rPr>
              <w:t>.</w:t>
            </w:r>
            <w:r w:rsidR="001939ED" w:rsidRPr="007C62B4">
              <w:rPr>
                <w:lang w:val="en-US"/>
              </w:rPr>
              <w:t xml:space="preserve"> </w:t>
            </w:r>
            <w:r w:rsidR="00585A1E">
              <w:rPr>
                <w:lang w:val="en-US"/>
              </w:rPr>
              <w:t>Ju</w:t>
            </w:r>
            <w:r>
              <w:rPr>
                <w:lang w:val="en-US"/>
              </w:rPr>
              <w:t>ni</w:t>
            </w:r>
            <w:r w:rsidR="001939ED" w:rsidRPr="007C62B4">
              <w:rPr>
                <w:lang w:val="en-US"/>
              </w:rPr>
              <w:t xml:space="preserve"> 202</w:t>
            </w:r>
            <w:r w:rsidR="002A03C2">
              <w:rPr>
                <w:lang w:val="en-US"/>
              </w:rPr>
              <w:t>6</w:t>
            </w:r>
            <w:r w:rsidR="00240018" w:rsidRPr="007C62B4">
              <w:rPr>
                <w:lang w:val="en-US"/>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rPr>
                <w:lang w:val="en-US"/>
              </w:rPr>
            </w:pPr>
            <w:bookmarkStart w:id="0" w:name="_Hlk43896002"/>
            <w:r>
              <w:rPr>
                <w:noProof/>
                <w:lang w:val="en-US"/>
              </w:rPr>
              <w:drawing>
                <wp:inline distT="0" distB="0" distL="0" distR="0" wp14:anchorId="73FFA675" wp14:editId="147C4CC8">
                  <wp:extent cx="885139" cy="426110"/>
                  <wp:effectExtent l="0" t="0" r="0" b="0"/>
                  <wp:docPr id="3" name="Grafik 3"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bookmarkEnd w:id="0"/>
    <w:p w14:paraId="23E75FED" w14:textId="02E0F16E" w:rsidR="000D7D79" w:rsidRPr="000D7D79" w:rsidRDefault="000D7D79" w:rsidP="000D7D79">
      <w:pPr>
        <w:pStyle w:val="berschrift2"/>
        <w:ind w:left="0"/>
        <w:rPr>
          <w:lang w:val="de-DE"/>
        </w:rPr>
      </w:pPr>
      <w:r w:rsidRPr="000D7D79">
        <w:rPr>
          <w:lang w:val="de-DE"/>
        </w:rPr>
        <w:t>PCIM Executive Circle: Neues Top-Level-Format für strategischen Austausch in der Lei</w:t>
      </w:r>
      <w:r>
        <w:rPr>
          <w:lang w:val="de-DE"/>
        </w:rPr>
        <w:t>stungselektronik</w:t>
      </w:r>
    </w:p>
    <w:p w14:paraId="11222673" w14:textId="46C93A47" w:rsidR="001A3A4F" w:rsidRDefault="001432C2" w:rsidP="000D7D79">
      <w:pPr>
        <w:pStyle w:val="Readup"/>
        <w:ind w:left="0"/>
        <w:rPr>
          <w:lang w:val="de-DE"/>
        </w:rPr>
      </w:pPr>
      <w:r w:rsidRPr="001432C2">
        <w:rPr>
          <w:lang w:val="de-DE"/>
        </w:rPr>
        <w:t xml:space="preserve">Stuttgart, </w:t>
      </w:r>
      <w:r w:rsidR="006B28CF" w:rsidRPr="006B28CF">
        <w:rPr>
          <w:lang w:val="de-DE"/>
        </w:rPr>
        <w:t>28</w:t>
      </w:r>
      <w:r w:rsidRPr="006B28CF">
        <w:rPr>
          <w:lang w:val="de-DE"/>
        </w:rPr>
        <w:t>.0</w:t>
      </w:r>
      <w:r w:rsidR="006B28CF" w:rsidRPr="006B28CF">
        <w:rPr>
          <w:lang w:val="de-DE"/>
        </w:rPr>
        <w:t>5</w:t>
      </w:r>
      <w:r w:rsidRPr="006B28CF">
        <w:rPr>
          <w:lang w:val="de-DE"/>
        </w:rPr>
        <w:t>.2026.</w:t>
      </w:r>
      <w:r w:rsidRPr="001432C2">
        <w:rPr>
          <w:lang w:val="de-DE"/>
        </w:rPr>
        <w:t xml:space="preserve"> </w:t>
      </w:r>
      <w:r w:rsidR="0004684E" w:rsidRPr="0004684E">
        <w:rPr>
          <w:lang w:val="de-DE"/>
        </w:rPr>
        <w:t>Wenn sich die internationale Leistungselektronikbranche vom 9. bis 11. Juni 2026 in Nürnberg zur PCIM Expo &amp; Conference trifft, geht es um weit mehr als Technologien und Trends – es geht um die Zukunft der Branche. Bereits am 8. Juni bringt der neue PCIM Executive Circle ausgewählte Entscheider in einem exklusiven Rahmen zusammen, um strategische Zukunftsthemen der Branche offen zu diskutieren und neue I</w:t>
      </w:r>
      <w:r w:rsidR="000D7D79">
        <w:rPr>
          <w:lang w:val="de-DE"/>
        </w:rPr>
        <w:t>m</w:t>
      </w:r>
      <w:r w:rsidR="0004684E" w:rsidRPr="0004684E">
        <w:rPr>
          <w:lang w:val="de-DE"/>
        </w:rPr>
        <w:t>pulse zu setzen</w:t>
      </w:r>
      <w:r w:rsidR="001A3A4F" w:rsidRPr="001A3A4F">
        <w:rPr>
          <w:lang w:val="de-DE"/>
        </w:rPr>
        <w:t>.</w:t>
      </w:r>
    </w:p>
    <w:p w14:paraId="327A2ADF" w14:textId="0237DF46" w:rsidR="0004684E" w:rsidRPr="0004684E" w:rsidRDefault="000D7D79" w:rsidP="000D7D79">
      <w:pPr>
        <w:pStyle w:val="Readup"/>
        <w:ind w:left="0"/>
        <w:rPr>
          <w:b w:val="0"/>
          <w:bCs w:val="0"/>
          <w:lang w:val="de-DE"/>
        </w:rPr>
      </w:pPr>
      <w:r w:rsidRPr="000D7D79">
        <w:rPr>
          <w:b w:val="0"/>
          <w:bCs w:val="0"/>
          <w:lang w:val="de-DE"/>
        </w:rPr>
        <w:t>„Die Leistungselektronik ist ein zentraler Enabler für Elektromobilität, erneuerbare Energien und KI-Infrastrukturen. Mit dem PCIM Executive Circle ergänzen wir die PCIM gezielt um ein strategisches Format auf Entscheiderebene – mit Raum für offene Diskussionen, neue Perspektiven und Impulse für die Zukunft der Branche“, sagt Lisette Hausser, Vice President der PCIM.</w:t>
      </w:r>
    </w:p>
    <w:p w14:paraId="381D69D0" w14:textId="35A4CC60" w:rsidR="0004684E" w:rsidRPr="0004684E" w:rsidRDefault="0004684E" w:rsidP="000D7D79">
      <w:pPr>
        <w:pStyle w:val="Readup"/>
        <w:ind w:left="0"/>
        <w:rPr>
          <w:b w:val="0"/>
          <w:bCs w:val="0"/>
          <w:lang w:val="de-DE"/>
        </w:rPr>
      </w:pPr>
      <w:r w:rsidRPr="0004684E">
        <w:rPr>
          <w:b w:val="0"/>
          <w:bCs w:val="0"/>
          <w:lang w:val="de-DE"/>
        </w:rPr>
        <w:t xml:space="preserve">In einem exklusiven Rahmen vernetzt der PCIM Executive Circle internationale Entscheider entlang der gesamten Wertschöpfungskette der Leistungselektronik. Das Business-orientierte Format richtet sich bewusst nicht an den wissenschaftlichen Austausch, sondern an strategische Fragestellungen rund um Markt, Transformation und Unternehmensentwicklung. Off-the-record-Regeln, ein teilnehmerzentrierter Ansatz sowie </w:t>
      </w:r>
      <w:r w:rsidR="00117EB5" w:rsidRPr="00BE6D6A">
        <w:rPr>
          <w:b w:val="0"/>
          <w:bCs w:val="0"/>
          <w:lang w:val="de-DE"/>
        </w:rPr>
        <w:t>direkte</w:t>
      </w:r>
      <w:r w:rsidR="00117EB5">
        <w:rPr>
          <w:b w:val="0"/>
          <w:bCs w:val="0"/>
          <w:lang w:val="de-DE"/>
        </w:rPr>
        <w:t xml:space="preserve"> </w:t>
      </w:r>
      <w:r w:rsidRPr="0004684E">
        <w:rPr>
          <w:b w:val="0"/>
          <w:bCs w:val="0"/>
          <w:lang w:val="de-DE"/>
        </w:rPr>
        <w:t>Dialoge s</w:t>
      </w:r>
      <w:r w:rsidR="00117EB5">
        <w:rPr>
          <w:b w:val="0"/>
          <w:bCs w:val="0"/>
          <w:lang w:val="de-DE"/>
        </w:rPr>
        <w:t>cha</w:t>
      </w:r>
      <w:r w:rsidRPr="0004684E">
        <w:rPr>
          <w:b w:val="0"/>
          <w:bCs w:val="0"/>
          <w:lang w:val="de-DE"/>
        </w:rPr>
        <w:t xml:space="preserve">ffen eine besondere Atmosphäre für </w:t>
      </w:r>
      <w:r>
        <w:rPr>
          <w:b w:val="0"/>
          <w:bCs w:val="0"/>
          <w:lang w:val="de-DE"/>
        </w:rPr>
        <w:t>offene</w:t>
      </w:r>
      <w:r w:rsidRPr="0004684E">
        <w:rPr>
          <w:b w:val="0"/>
          <w:bCs w:val="0"/>
          <w:lang w:val="de-DE"/>
        </w:rPr>
        <w:t xml:space="preserve"> Gespräche auf Augenhöhe.</w:t>
      </w:r>
    </w:p>
    <w:p w14:paraId="1CA023AF" w14:textId="6D242E6D" w:rsidR="0004684E" w:rsidRPr="0004684E" w:rsidRDefault="000D7D79" w:rsidP="000D7D79">
      <w:pPr>
        <w:pStyle w:val="Readup"/>
        <w:ind w:left="0"/>
        <w:rPr>
          <w:b w:val="0"/>
          <w:bCs w:val="0"/>
          <w:lang w:val="de-DE"/>
        </w:rPr>
      </w:pPr>
      <w:r w:rsidRPr="000D7D79">
        <w:rPr>
          <w:b w:val="0"/>
          <w:bCs w:val="0"/>
          <w:lang w:val="de-DE"/>
        </w:rPr>
        <w:t>Der Executive Circle greift Elemente einer „Unconference“ auf: Statt eines klassischen Bühnenprogramms stehen die Teilnehmer im Mittelpunkt. Inhalte und Diskussionen entwickeln sich aus ihren Perspektiven, Erfahrungen und aktuellen Herausforderungen.</w:t>
      </w:r>
      <w:r>
        <w:rPr>
          <w:b w:val="0"/>
          <w:bCs w:val="0"/>
          <w:lang w:val="de-DE"/>
        </w:rPr>
        <w:t xml:space="preserve"> </w:t>
      </w:r>
      <w:r w:rsidR="0004684E" w:rsidRPr="0004684E">
        <w:rPr>
          <w:b w:val="0"/>
          <w:bCs w:val="0"/>
          <w:lang w:val="de-DE"/>
        </w:rPr>
        <w:t xml:space="preserve">Die </w:t>
      </w:r>
      <w:r>
        <w:rPr>
          <w:b w:val="0"/>
          <w:bCs w:val="0"/>
          <w:lang w:val="de-DE"/>
        </w:rPr>
        <w:t>limitierte</w:t>
      </w:r>
      <w:r w:rsidR="0004684E" w:rsidRPr="0004684E">
        <w:rPr>
          <w:b w:val="0"/>
          <w:bCs w:val="0"/>
          <w:lang w:val="de-DE"/>
        </w:rPr>
        <w:t xml:space="preserve"> Teilnehmerzahl schafft dabei den Rahmen für hochwertige Gespräche und nachhaltige Verbindungen.</w:t>
      </w:r>
    </w:p>
    <w:p w14:paraId="7D404BA4" w14:textId="3F6ACB59" w:rsidR="000D7D79" w:rsidRPr="000D7D79" w:rsidRDefault="000D7D79" w:rsidP="000D7D79">
      <w:pPr>
        <w:pStyle w:val="Readup"/>
        <w:ind w:left="0"/>
        <w:rPr>
          <w:b w:val="0"/>
          <w:bCs w:val="0"/>
          <w:lang w:val="de-DE"/>
        </w:rPr>
      </w:pPr>
      <w:r w:rsidRPr="000D7D79">
        <w:rPr>
          <w:b w:val="0"/>
          <w:bCs w:val="0"/>
          <w:lang w:val="de-DE"/>
        </w:rPr>
        <w:t>Die Agenda kombiniert Keynotes, interaktive Roundtables und gezielte Networking-Sessions. Nach der Eröffnung gibt Ole Gerkensmeyer</w:t>
      </w:r>
      <w:r w:rsidR="00117EB5">
        <w:rPr>
          <w:b w:val="0"/>
          <w:bCs w:val="0"/>
          <w:lang w:val="de-DE"/>
        </w:rPr>
        <w:t>, Chief Strategy Officer bei Nexperia,</w:t>
      </w:r>
      <w:r w:rsidRPr="000D7D79">
        <w:rPr>
          <w:b w:val="0"/>
          <w:bCs w:val="0"/>
          <w:lang w:val="de-DE"/>
        </w:rPr>
        <w:t xml:space="preserve"> einen Impuls zu geopolitischen Spannungen und deren Auswirkungen auf industrielle Partnerschaften. In parallelen Sessions diskutieren die Teilnehmer</w:t>
      </w:r>
      <w:r w:rsidR="00117EB5">
        <w:rPr>
          <w:b w:val="0"/>
          <w:bCs w:val="0"/>
          <w:lang w:val="de-DE"/>
        </w:rPr>
        <w:t xml:space="preserve"> Themen wie</w:t>
      </w:r>
      <w:r w:rsidRPr="000D7D79">
        <w:rPr>
          <w:b w:val="0"/>
          <w:bCs w:val="0"/>
          <w:lang w:val="de-DE"/>
        </w:rPr>
        <w:t>:</w:t>
      </w:r>
    </w:p>
    <w:p w14:paraId="67682ED3" w14:textId="77777777" w:rsidR="000D7D79" w:rsidRDefault="000D7D79" w:rsidP="000D7D79">
      <w:pPr>
        <w:pStyle w:val="Readup"/>
        <w:numPr>
          <w:ilvl w:val="0"/>
          <w:numId w:val="5"/>
        </w:numPr>
        <w:rPr>
          <w:b w:val="0"/>
          <w:bCs w:val="0"/>
          <w:lang w:val="de-DE"/>
        </w:rPr>
      </w:pPr>
      <w:r w:rsidRPr="000D7D79">
        <w:rPr>
          <w:b w:val="0"/>
          <w:bCs w:val="0"/>
          <w:lang w:val="de-DE"/>
        </w:rPr>
        <w:t>Sustainability</w:t>
      </w:r>
    </w:p>
    <w:p w14:paraId="3582DD1A" w14:textId="77777777" w:rsidR="000D7D79" w:rsidRDefault="000D7D79" w:rsidP="000D7D79">
      <w:pPr>
        <w:pStyle w:val="Readup"/>
        <w:numPr>
          <w:ilvl w:val="0"/>
          <w:numId w:val="5"/>
        </w:numPr>
        <w:rPr>
          <w:b w:val="0"/>
          <w:bCs w:val="0"/>
          <w:lang w:val="de-DE"/>
        </w:rPr>
      </w:pPr>
      <w:r w:rsidRPr="000D7D79">
        <w:rPr>
          <w:b w:val="0"/>
          <w:bCs w:val="0"/>
          <w:lang w:val="de-DE"/>
        </w:rPr>
        <w:t>Innovative Materialien</w:t>
      </w:r>
    </w:p>
    <w:p w14:paraId="611990EB" w14:textId="77777777" w:rsidR="000D7D79" w:rsidRDefault="000D7D79" w:rsidP="000D7D79">
      <w:pPr>
        <w:pStyle w:val="Readup"/>
        <w:numPr>
          <w:ilvl w:val="0"/>
          <w:numId w:val="5"/>
        </w:numPr>
        <w:rPr>
          <w:b w:val="0"/>
          <w:bCs w:val="0"/>
          <w:lang w:val="de-DE"/>
        </w:rPr>
      </w:pPr>
      <w:r w:rsidRPr="000D7D79">
        <w:rPr>
          <w:b w:val="0"/>
          <w:bCs w:val="0"/>
          <w:lang w:val="de-DE"/>
        </w:rPr>
        <w:t>KI-gestützte Forschung</w:t>
      </w:r>
    </w:p>
    <w:p w14:paraId="02F75C87" w14:textId="77777777" w:rsidR="000D7D79" w:rsidRDefault="000D7D79" w:rsidP="000D7D79">
      <w:pPr>
        <w:pStyle w:val="Readup"/>
        <w:numPr>
          <w:ilvl w:val="0"/>
          <w:numId w:val="5"/>
        </w:numPr>
        <w:rPr>
          <w:b w:val="0"/>
          <w:bCs w:val="0"/>
          <w:lang w:val="de-DE"/>
        </w:rPr>
      </w:pPr>
      <w:r w:rsidRPr="000D7D79">
        <w:rPr>
          <w:b w:val="0"/>
          <w:bCs w:val="0"/>
          <w:lang w:val="de-DE"/>
        </w:rPr>
        <w:t>Data Centers</w:t>
      </w:r>
    </w:p>
    <w:p w14:paraId="5516E180" w14:textId="77777777" w:rsidR="000D7D79" w:rsidRDefault="000D7D79" w:rsidP="000D7D79">
      <w:pPr>
        <w:pStyle w:val="Readup"/>
        <w:numPr>
          <w:ilvl w:val="0"/>
          <w:numId w:val="5"/>
        </w:numPr>
        <w:rPr>
          <w:b w:val="0"/>
          <w:bCs w:val="0"/>
          <w:lang w:val="de-DE"/>
        </w:rPr>
      </w:pPr>
      <w:r w:rsidRPr="000D7D79">
        <w:rPr>
          <w:b w:val="0"/>
          <w:bCs w:val="0"/>
          <w:lang w:val="de-DE"/>
        </w:rPr>
        <w:t>Resiliente Lieferketten</w:t>
      </w:r>
    </w:p>
    <w:p w14:paraId="4B256C4A" w14:textId="77777777" w:rsidR="000D7D79" w:rsidRDefault="000D7D79" w:rsidP="000D7D79">
      <w:pPr>
        <w:pStyle w:val="Readup"/>
        <w:numPr>
          <w:ilvl w:val="0"/>
          <w:numId w:val="5"/>
        </w:numPr>
        <w:rPr>
          <w:b w:val="0"/>
          <w:bCs w:val="0"/>
          <w:lang w:val="de-DE"/>
        </w:rPr>
      </w:pPr>
      <w:r w:rsidRPr="000D7D79">
        <w:rPr>
          <w:b w:val="0"/>
          <w:bCs w:val="0"/>
          <w:lang w:val="de-DE"/>
        </w:rPr>
        <w:lastRenderedPageBreak/>
        <w:t>Energiewende</w:t>
      </w:r>
    </w:p>
    <w:p w14:paraId="6765E4B2" w14:textId="4D337BE9" w:rsidR="000D7D79" w:rsidRPr="000D7D79" w:rsidRDefault="000D7D79" w:rsidP="000D7D79">
      <w:pPr>
        <w:pStyle w:val="Readup"/>
        <w:numPr>
          <w:ilvl w:val="0"/>
          <w:numId w:val="5"/>
        </w:numPr>
        <w:rPr>
          <w:b w:val="0"/>
          <w:bCs w:val="0"/>
          <w:lang w:val="de-DE"/>
        </w:rPr>
      </w:pPr>
      <w:r w:rsidRPr="000D7D79">
        <w:rPr>
          <w:b w:val="0"/>
          <w:bCs w:val="0"/>
          <w:lang w:val="de-DE"/>
        </w:rPr>
        <w:t>Industrie-Start-up-Kooperationen</w:t>
      </w:r>
    </w:p>
    <w:p w14:paraId="4B037FF8" w14:textId="55EBA322" w:rsidR="000D7D79" w:rsidRPr="000D7D79" w:rsidRDefault="000D7D79" w:rsidP="000D7D79">
      <w:pPr>
        <w:pStyle w:val="Readup"/>
        <w:rPr>
          <w:b w:val="0"/>
          <w:bCs w:val="0"/>
          <w:lang w:val="de-DE"/>
        </w:rPr>
      </w:pPr>
      <w:r w:rsidRPr="000D7D79">
        <w:rPr>
          <w:b w:val="0"/>
          <w:bCs w:val="0"/>
          <w:lang w:val="de-DE"/>
        </w:rPr>
        <w:t>Experten wie Mahyar K</w:t>
      </w:r>
      <w:r w:rsidR="00BE6D6A">
        <w:rPr>
          <w:b w:val="0"/>
          <w:bCs w:val="0"/>
          <w:lang w:val="de-DE"/>
        </w:rPr>
        <w:t>osh</w:t>
      </w:r>
      <w:r w:rsidRPr="000D7D79">
        <w:rPr>
          <w:b w:val="0"/>
          <w:bCs w:val="0"/>
          <w:lang w:val="de-DE"/>
        </w:rPr>
        <w:t>ravi</w:t>
      </w:r>
      <w:r w:rsidR="00F20B1C">
        <w:rPr>
          <w:b w:val="0"/>
          <w:bCs w:val="0"/>
          <w:lang w:val="de-DE"/>
        </w:rPr>
        <w:t xml:space="preserve"> (</w:t>
      </w:r>
      <w:r w:rsidR="00F20B1C" w:rsidRPr="00F20B1C">
        <w:rPr>
          <w:b w:val="0"/>
          <w:bCs w:val="0"/>
          <w:lang w:val="de-DE"/>
        </w:rPr>
        <w:t>Nitride Global</w:t>
      </w:r>
      <w:r w:rsidR="00F20B1C">
        <w:rPr>
          <w:b w:val="0"/>
          <w:bCs w:val="0"/>
          <w:lang w:val="de-DE"/>
        </w:rPr>
        <w:t>),</w:t>
      </w:r>
      <w:r w:rsidRPr="000D7D79">
        <w:rPr>
          <w:b w:val="0"/>
          <w:bCs w:val="0"/>
          <w:lang w:val="de-DE"/>
        </w:rPr>
        <w:t xml:space="preserve"> Stefan Hain</w:t>
      </w:r>
      <w:r w:rsidR="00F20B1C">
        <w:rPr>
          <w:b w:val="0"/>
          <w:bCs w:val="0"/>
          <w:lang w:val="de-DE"/>
        </w:rPr>
        <w:t xml:space="preserve"> (</w:t>
      </w:r>
      <w:r w:rsidR="00F20B1C" w:rsidRPr="00F20B1C">
        <w:rPr>
          <w:b w:val="0"/>
          <w:bCs w:val="0"/>
          <w:lang w:val="de-DE"/>
        </w:rPr>
        <w:t>onsemi</w:t>
      </w:r>
      <w:r w:rsidR="00F20B1C">
        <w:rPr>
          <w:b w:val="0"/>
          <w:bCs w:val="0"/>
          <w:lang w:val="de-DE"/>
        </w:rPr>
        <w:t>)</w:t>
      </w:r>
      <w:r w:rsidRPr="000D7D79">
        <w:rPr>
          <w:b w:val="0"/>
          <w:bCs w:val="0"/>
          <w:lang w:val="de-DE"/>
        </w:rPr>
        <w:t>, Milan Rosina</w:t>
      </w:r>
      <w:r w:rsidR="00F20B1C">
        <w:rPr>
          <w:b w:val="0"/>
          <w:bCs w:val="0"/>
          <w:lang w:val="de-DE"/>
        </w:rPr>
        <w:t xml:space="preserve"> (</w:t>
      </w:r>
      <w:r w:rsidR="00F20B1C" w:rsidRPr="00F20B1C">
        <w:rPr>
          <w:b w:val="0"/>
          <w:bCs w:val="0"/>
          <w:lang w:val="de-DE"/>
        </w:rPr>
        <w:t>Yole Group)</w:t>
      </w:r>
      <w:r w:rsidRPr="000D7D79">
        <w:rPr>
          <w:b w:val="0"/>
          <w:bCs w:val="0"/>
          <w:lang w:val="de-DE"/>
        </w:rPr>
        <w:t>, Jörg Schulze</w:t>
      </w:r>
      <w:r w:rsidR="00F20B1C">
        <w:rPr>
          <w:b w:val="0"/>
          <w:bCs w:val="0"/>
          <w:lang w:val="de-DE"/>
        </w:rPr>
        <w:t xml:space="preserve"> (</w:t>
      </w:r>
      <w:r w:rsidR="00F20B1C" w:rsidRPr="00F20B1C">
        <w:rPr>
          <w:b w:val="0"/>
          <w:bCs w:val="0"/>
          <w:lang w:val="de-DE"/>
        </w:rPr>
        <w:t>Fraunhofer IISB</w:t>
      </w:r>
      <w:r w:rsidR="00F20B1C">
        <w:rPr>
          <w:b w:val="0"/>
          <w:bCs w:val="0"/>
          <w:lang w:val="de-DE"/>
        </w:rPr>
        <w:t>)</w:t>
      </w:r>
      <w:r w:rsidRPr="000D7D79">
        <w:rPr>
          <w:b w:val="0"/>
          <w:bCs w:val="0"/>
          <w:lang w:val="de-DE"/>
        </w:rPr>
        <w:t>, Tobias Keller</w:t>
      </w:r>
      <w:r w:rsidR="00F20B1C">
        <w:rPr>
          <w:b w:val="0"/>
          <w:bCs w:val="0"/>
          <w:lang w:val="de-DE"/>
        </w:rPr>
        <w:t xml:space="preserve"> (</w:t>
      </w:r>
      <w:r w:rsidR="00F20B1C" w:rsidRPr="00F20B1C">
        <w:rPr>
          <w:b w:val="0"/>
          <w:bCs w:val="0"/>
          <w:lang w:val="de-DE"/>
        </w:rPr>
        <w:t>Hitachi Energy</w:t>
      </w:r>
      <w:r w:rsidR="00F20B1C">
        <w:rPr>
          <w:b w:val="0"/>
          <w:bCs w:val="0"/>
          <w:lang w:val="de-DE"/>
        </w:rPr>
        <w:t>)</w:t>
      </w:r>
      <w:r w:rsidRPr="000D7D79">
        <w:rPr>
          <w:b w:val="0"/>
          <w:bCs w:val="0"/>
          <w:lang w:val="de-DE"/>
        </w:rPr>
        <w:t xml:space="preserve">, Tanjeff Schadt </w:t>
      </w:r>
      <w:r w:rsidR="00F20B1C">
        <w:rPr>
          <w:b w:val="0"/>
          <w:bCs w:val="0"/>
          <w:lang w:val="de-DE"/>
        </w:rPr>
        <w:t>(</w:t>
      </w:r>
      <w:r w:rsidR="00F20B1C" w:rsidRPr="00F20B1C">
        <w:rPr>
          <w:b w:val="0"/>
          <w:bCs w:val="0"/>
          <w:lang w:val="de-DE"/>
        </w:rPr>
        <w:t>Strategy&amp;</w:t>
      </w:r>
      <w:r w:rsidR="00F20B1C">
        <w:rPr>
          <w:lang w:val="de-DE"/>
        </w:rPr>
        <w:t xml:space="preserve">) </w:t>
      </w:r>
      <w:r w:rsidRPr="000D7D79">
        <w:rPr>
          <w:b w:val="0"/>
          <w:bCs w:val="0"/>
          <w:lang w:val="de-DE"/>
        </w:rPr>
        <w:t>und Wolfgang Dengler</w:t>
      </w:r>
      <w:r w:rsidR="00637D68" w:rsidRPr="00637D68">
        <w:rPr>
          <w:b w:val="0"/>
          <w:bCs w:val="0"/>
          <w:color w:val="303030"/>
          <w:sz w:val="21"/>
          <w:szCs w:val="21"/>
          <w:shd w:val="clear" w:color="auto" w:fill="FFFFFF"/>
          <w:lang w:val="de-DE"/>
        </w:rPr>
        <w:t xml:space="preserve"> </w:t>
      </w:r>
      <w:r w:rsidR="00637D68">
        <w:rPr>
          <w:b w:val="0"/>
          <w:bCs w:val="0"/>
          <w:color w:val="303030"/>
          <w:sz w:val="21"/>
          <w:szCs w:val="21"/>
          <w:shd w:val="clear" w:color="auto" w:fill="FFFFFF"/>
          <w:lang w:val="de-DE"/>
        </w:rPr>
        <w:t>(</w:t>
      </w:r>
      <w:r w:rsidR="00637D68" w:rsidRPr="00637D68">
        <w:rPr>
          <w:b w:val="0"/>
          <w:bCs w:val="0"/>
          <w:lang w:val="de-DE"/>
        </w:rPr>
        <w:t>BayernKapita</w:t>
      </w:r>
      <w:r w:rsidR="00637D68">
        <w:rPr>
          <w:b w:val="0"/>
          <w:bCs w:val="0"/>
          <w:lang w:val="de-DE"/>
        </w:rPr>
        <w:t>l)</w:t>
      </w:r>
      <w:r w:rsidRPr="000D7D79">
        <w:rPr>
          <w:b w:val="0"/>
          <w:bCs w:val="0"/>
          <w:lang w:val="de-DE"/>
        </w:rPr>
        <w:t xml:space="preserve"> bringen dabei Perspektiven aus Industrie, Forschung und Innovation ein.</w:t>
      </w:r>
    </w:p>
    <w:p w14:paraId="549BFDF0" w14:textId="2015F121" w:rsidR="0004684E" w:rsidRPr="0004684E" w:rsidRDefault="0004684E" w:rsidP="0004684E">
      <w:pPr>
        <w:pStyle w:val="Readup"/>
        <w:rPr>
          <w:b w:val="0"/>
          <w:bCs w:val="0"/>
          <w:lang w:val="de-DE"/>
        </w:rPr>
      </w:pPr>
      <w:r w:rsidRPr="0004684E">
        <w:rPr>
          <w:b w:val="0"/>
          <w:bCs w:val="0"/>
          <w:lang w:val="de-DE"/>
        </w:rPr>
        <w:t xml:space="preserve">Zwischen den Sessions bleibt </w:t>
      </w:r>
      <w:r w:rsidR="00635AB1">
        <w:rPr>
          <w:b w:val="0"/>
          <w:bCs w:val="0"/>
          <w:lang w:val="de-DE"/>
        </w:rPr>
        <w:t>ausreichend</w:t>
      </w:r>
      <w:r w:rsidRPr="0004684E">
        <w:rPr>
          <w:b w:val="0"/>
          <w:bCs w:val="0"/>
          <w:lang w:val="de-DE"/>
        </w:rPr>
        <w:t xml:space="preserve"> Zeit für persönliche Gespräche und Networking. Den Abschluss bildet ein gemeinsames Get-together mit Essen und Getränken.</w:t>
      </w:r>
    </w:p>
    <w:p w14:paraId="1565F7FA" w14:textId="1C090FDB" w:rsidR="0004684E" w:rsidRPr="0004684E" w:rsidRDefault="0004684E" w:rsidP="0004684E">
      <w:pPr>
        <w:pStyle w:val="Readup"/>
        <w:rPr>
          <w:b w:val="0"/>
          <w:bCs w:val="0"/>
          <w:lang w:val="de-DE"/>
        </w:rPr>
      </w:pPr>
      <w:r w:rsidRPr="0004684E">
        <w:rPr>
          <w:b w:val="0"/>
          <w:bCs w:val="0"/>
          <w:lang w:val="de-DE"/>
        </w:rPr>
        <w:t xml:space="preserve">Der PCIM Executive Circle bietet den Teilnehmern nicht nur fachliche und strategische Mehrwerte, sondern auch die Möglichkeit, neue Kooperationen und Partnerschaften aufzubauen, sich mit Gleichgesinnten auszutauschen und eigene Ideen aktiv einzubringen. Gleichzeitig schafft das Format Raum für Inspiration, strategische Reflexion und die Weiterentwicklung unternehmerischer Ziele. </w:t>
      </w:r>
    </w:p>
    <w:p w14:paraId="12CAD7D3" w14:textId="57A5AFAE" w:rsidR="0004684E" w:rsidRPr="003C1C67" w:rsidRDefault="0004684E" w:rsidP="003C1C67">
      <w:pPr>
        <w:pStyle w:val="Readup"/>
        <w:rPr>
          <w:lang w:val="de-DE"/>
        </w:rPr>
      </w:pPr>
      <w:r w:rsidRPr="0004684E">
        <w:rPr>
          <w:b w:val="0"/>
          <w:bCs w:val="0"/>
          <w:lang w:val="de-DE"/>
        </w:rPr>
        <w:t xml:space="preserve">Interessierte können sich ab sofort für den exklusiven PCIM Executive Circle </w:t>
      </w:r>
      <w:hyperlink r:id="rId7" w:history="1">
        <w:r w:rsidRPr="00AA22B4">
          <w:rPr>
            <w:rStyle w:val="Hyperlink"/>
            <w:b w:val="0"/>
            <w:bCs w:val="0"/>
            <w:lang w:val="de-DE"/>
          </w:rPr>
          <w:t>anmelden</w:t>
        </w:r>
      </w:hyperlink>
      <w:r>
        <w:rPr>
          <w:b w:val="0"/>
          <w:bCs w:val="0"/>
          <w:lang w:val="de-DE"/>
        </w:rPr>
        <w:t xml:space="preserve">: </w:t>
      </w:r>
      <w:hyperlink r:id="rId8" w:history="1">
        <w:r w:rsidR="007256F1" w:rsidRPr="00A60CFA">
          <w:rPr>
            <w:rStyle w:val="Hyperlink"/>
            <w:b w:val="0"/>
            <w:bCs w:val="0"/>
            <w:lang w:val="de-DE"/>
          </w:rPr>
          <w:t>https://bit.ly/4ux7tZv</w:t>
        </w:r>
      </w:hyperlink>
      <w:r w:rsidR="007256F1" w:rsidRPr="003C1C67">
        <w:rPr>
          <w:lang w:val="de-DE"/>
        </w:rPr>
        <w:t xml:space="preserve"> </w:t>
      </w:r>
    </w:p>
    <w:p w14:paraId="576F433D" w14:textId="50A1091F" w:rsidR="003C504C" w:rsidRDefault="003C504C" w:rsidP="003C504C">
      <w:pPr>
        <w:pStyle w:val="Continuoustext"/>
      </w:pPr>
      <w:r w:rsidRPr="00F12364">
        <w:t>Die PCIM Expo &amp; Conference ist die zentrale Branchenplattform für wegweisende Produktpremieren, Innovationen und neueste Forschungsergebnisse. Mit ihrer einzigartigen Kombination aus wissenschaftlicher Konferenz und praxisorientierter Fachmesse</w:t>
      </w:r>
      <w:r>
        <w:t>,</w:t>
      </w:r>
      <w:r w:rsidRPr="00F12364">
        <w:t xml:space="preserve"> konnte die Veranstaltung im Jahr 2025 </w:t>
      </w:r>
      <w:r>
        <w:t xml:space="preserve">insgesamt </w:t>
      </w:r>
      <w:r w:rsidRPr="00F12364">
        <w:t>685 ausstellende Unternehmen, 16.500 Besuchende und über 800 Konferenzteilnehmende aus Wissenschaft und Industrie verzeichnen. Mit einem Rekordwert von 62% Internationalität unterstreicht die Veranstaltung die globale Relevanz und ist das international führende Event der Leistungselektronik-Community.</w:t>
      </w:r>
    </w:p>
    <w:p w14:paraId="14824B4E" w14:textId="77777777" w:rsidR="0004684E" w:rsidRPr="00F12364" w:rsidRDefault="0004684E" w:rsidP="003C504C">
      <w:pPr>
        <w:pStyle w:val="Continuoustext"/>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0A61A9A4">
                  <wp:extent cx="3187030"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7030"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rPr>
                <w:lang w:val="de-DE"/>
              </w:rPr>
            </w:pPr>
            <w:r w:rsidRPr="003C504C">
              <w:rPr>
                <w:lang w:val="de-DE"/>
              </w:rPr>
              <w:t>Copyright: Mesago Messe Frankfurt G</w:t>
            </w:r>
            <w:r>
              <w:rPr>
                <w:lang w:val="de-DE"/>
              </w:rPr>
              <w:t xml:space="preserve">mbH / </w:t>
            </w:r>
            <w:r w:rsidR="000D1B0F" w:rsidRPr="00BC16F1">
              <w:rPr>
                <w:lang w:val="de-DE"/>
              </w:rPr>
              <w:t>Arturo Rivas Gonzalez</w:t>
            </w:r>
            <w:r w:rsidR="000D1B0F">
              <w:rPr>
                <w:lang w:val="de-DE"/>
              </w:rPr>
              <w:t xml:space="preserve"> </w:t>
            </w:r>
          </w:p>
        </w:tc>
      </w:tr>
    </w:tbl>
    <w:p w14:paraId="0A154984" w14:textId="388AC7F2" w:rsidR="007B2F67" w:rsidRDefault="007C62B4" w:rsidP="00A15BC8">
      <w:pPr>
        <w:pStyle w:val="Continuoustext"/>
        <w:rPr>
          <w:lang w:val="en-GB"/>
        </w:rPr>
      </w:pPr>
      <w:r>
        <w:rPr>
          <w:lang w:val="en-GB"/>
        </w:rPr>
        <w:t xml:space="preserve">PCIM </w:t>
      </w:r>
    </w:p>
    <w:p w14:paraId="6DB1F869" w14:textId="7489B946" w:rsidR="00A15BC8" w:rsidRPr="004E00C3" w:rsidRDefault="00281D02" w:rsidP="00A15BC8">
      <w:pPr>
        <w:pStyle w:val="Continuoustext"/>
      </w:pPr>
      <w:r w:rsidRPr="004E00C3">
        <w:t>International</w:t>
      </w:r>
      <w:r w:rsidR="004E00C3" w:rsidRPr="004E00C3">
        <w:t>e</w:t>
      </w:r>
      <w:r w:rsidR="00221135" w:rsidRPr="004E00C3">
        <w:t xml:space="preserve"> </w:t>
      </w:r>
      <w:r w:rsidR="004E00C3" w:rsidRPr="004E00C3">
        <w:t>Fachmesse und Konferenz f</w:t>
      </w:r>
      <w:r w:rsidR="004E00C3">
        <w:t>ür Leistungselektronik, Intelligente Antriebstechnik, Erneuerbare Energien und Energiemanagement</w:t>
      </w:r>
    </w:p>
    <w:p w14:paraId="5F93BB78" w14:textId="4C7B590D" w:rsidR="00C56C0A" w:rsidRPr="004E00C3" w:rsidRDefault="00D645F7" w:rsidP="00673621">
      <w:pPr>
        <w:pStyle w:val="Continuoustext"/>
      </w:pPr>
      <w:r>
        <w:lastRenderedPageBreak/>
        <w:t>Die</w:t>
      </w:r>
      <w:r w:rsidR="007B2F67" w:rsidRPr="004E00C3">
        <w:t xml:space="preserve"> </w:t>
      </w:r>
      <w:r w:rsidR="007C62B4" w:rsidRPr="004E00C3">
        <w:t xml:space="preserve">PCIM </w:t>
      </w:r>
      <w:r w:rsidR="004E00C3" w:rsidRPr="004E00C3">
        <w:t>findet statt vom</w:t>
      </w:r>
      <w:r w:rsidR="007B2F67" w:rsidRPr="004E00C3">
        <w:t xml:space="preserve"> </w:t>
      </w:r>
      <w:r w:rsidR="004E00C3" w:rsidRPr="00905040">
        <w:rPr>
          <w:szCs w:val="22"/>
        </w:rPr>
        <w:t>09. – 11. Juni 2026.</w:t>
      </w:r>
    </w:p>
    <w:p w14:paraId="0A9F4FEA" w14:textId="712D6DF1" w:rsidR="00C56C0A" w:rsidRPr="004E00C3" w:rsidRDefault="0032688C" w:rsidP="002757C9">
      <w:pPr>
        <w:pStyle w:val="berschrift4"/>
        <w:rPr>
          <w:lang w:val="de-DE"/>
        </w:rPr>
      </w:pPr>
      <w:bookmarkStart w:id="1" w:name="hinweisueberschrift"/>
      <w:bookmarkStart w:id="2" w:name="Presseueberschrift"/>
      <w:bookmarkEnd w:id="1"/>
      <w:bookmarkEnd w:id="2"/>
      <w:r w:rsidRPr="004E00C3">
        <w:rPr>
          <w:rFonts w:ascii="Arial" w:hAnsi="Arial" w:cs="Arial"/>
          <w:bCs/>
          <w:iCs w:val="0"/>
          <w:color w:val="auto"/>
          <w:lang w:val="de-DE"/>
        </w:rPr>
        <w:t>Presseinformation und Fotomaterial</w:t>
      </w:r>
      <w:r w:rsidR="007B2F67" w:rsidRPr="004E00C3">
        <w:rPr>
          <w:lang w:val="de-DE"/>
        </w:rPr>
        <w:t>:</w:t>
      </w:r>
    </w:p>
    <w:p w14:paraId="4C34A024" w14:textId="6A468808" w:rsidR="007C62B4" w:rsidRPr="004E00C3" w:rsidRDefault="007C62B4" w:rsidP="003F716F">
      <w:pPr>
        <w:pStyle w:val="Continuoustext"/>
      </w:pPr>
      <w:hyperlink r:id="rId10" w:history="1">
        <w:r w:rsidRPr="004E00C3">
          <w:rPr>
            <w:rStyle w:val="Hyperlink"/>
          </w:rPr>
          <w:t>Press</w:t>
        </w:r>
        <w:r w:rsidR="004E00C3">
          <w:rPr>
            <w:rStyle w:val="Hyperlink"/>
          </w:rPr>
          <w:t>e</w:t>
        </w:r>
        <w:r w:rsidRPr="004E00C3">
          <w:rPr>
            <w:rStyle w:val="Hyperlink"/>
          </w:rPr>
          <w:t xml:space="preserve"> - PCIM </w:t>
        </w:r>
      </w:hyperlink>
    </w:p>
    <w:p w14:paraId="78A8F9D4" w14:textId="3F6D6D6E" w:rsidR="00C56C0A" w:rsidRPr="004E00C3" w:rsidRDefault="0032688C" w:rsidP="002757C9">
      <w:pPr>
        <w:pStyle w:val="berschrift4"/>
        <w:rPr>
          <w:lang w:val="de-DE"/>
        </w:rPr>
      </w:pPr>
      <w:bookmarkStart w:id="3" w:name="Netzueberschrift"/>
      <w:bookmarkEnd w:id="3"/>
      <w:r w:rsidRPr="004E00C3">
        <w:rPr>
          <w:rFonts w:ascii="Arial" w:eastAsia="Times New Roman" w:hAnsi="Arial" w:cs="Times New Roman"/>
          <w:color w:val="000000"/>
          <w:lang w:val="de-DE"/>
        </w:rPr>
        <w:t>Links zu den Webseiten</w:t>
      </w:r>
      <w:r w:rsidR="009045C6" w:rsidRPr="004E00C3">
        <w:rPr>
          <w:lang w:val="de-DE"/>
        </w:rPr>
        <w:t>:</w:t>
      </w:r>
    </w:p>
    <w:bookmarkStart w:id="4" w:name="Netz"/>
    <w:bookmarkEnd w:id="4"/>
    <w:p w14:paraId="22B72496" w14:textId="54530F0E" w:rsidR="00641AD8" w:rsidRPr="004E00C3" w:rsidRDefault="007C62B4" w:rsidP="00CF5B16">
      <w:pPr>
        <w:pStyle w:val="Continuoustext"/>
      </w:pPr>
      <w:r>
        <w:fldChar w:fldCharType="begin"/>
      </w:r>
      <w:r w:rsidR="004E00C3">
        <w:instrText>HYPERLINK "https://pcim.mesago.com/events/de.html"</w:instrText>
      </w:r>
      <w:r>
        <w:fldChar w:fldCharType="separate"/>
      </w:r>
      <w:r w:rsidR="004E00C3" w:rsidRPr="004E00C3">
        <w:rPr>
          <w:rStyle w:val="Hyperlink"/>
        </w:rPr>
        <w:t>PCIM – das Event für Leistungselektronik</w:t>
      </w:r>
      <w:r>
        <w:fldChar w:fldCharType="end"/>
      </w:r>
      <w:r w:rsidR="004E00C3">
        <w:t xml:space="preserve">                               </w:t>
      </w:r>
      <w:r w:rsidR="0057094E" w:rsidRPr="004E00C3">
        <w:t xml:space="preserve">           </w:t>
      </w:r>
      <w:r w:rsidR="003F716F" w:rsidRPr="004E00C3">
        <w:rPr>
          <w:color w:val="auto"/>
        </w:rPr>
        <w:br/>
      </w:r>
      <w:hyperlink r:id="rId11" w:history="1">
        <w:r w:rsidR="008D281B">
          <w:rPr>
            <w:rStyle w:val="Hyperlink"/>
          </w:rPr>
          <w:t>https://www.facebook.com/pcim</w:t>
        </w:r>
      </w:hyperlink>
      <w:r w:rsidR="00641AD8" w:rsidRPr="004E00C3">
        <w:rPr>
          <w:color w:val="auto"/>
        </w:rPr>
        <w:t>/</w:t>
      </w:r>
      <w:r w:rsidR="00641AD8" w:rsidRPr="004E00C3">
        <w:rPr>
          <w:color w:val="auto"/>
        </w:rPr>
        <w:br/>
      </w:r>
      <w:hyperlink r:id="rId12" w:history="1">
        <w:r w:rsidR="008D281B">
          <w:rPr>
            <w:rStyle w:val="Hyperlink"/>
          </w:rPr>
          <w:t>https://www.linkedin.com/showcase/pcim/</w:t>
        </w:r>
      </w:hyperlink>
    </w:p>
    <w:p w14:paraId="5FD88D8A" w14:textId="77777777" w:rsidR="003F716F" w:rsidRPr="004E00C3"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6B28CF" w14:paraId="46D167E0" w14:textId="77777777" w:rsidTr="00D27EB6">
        <w:tc>
          <w:tcPr>
            <w:tcW w:w="5000" w:type="pct"/>
            <w:tcMar>
              <w:left w:w="142" w:type="dxa"/>
              <w:right w:w="0" w:type="dxa"/>
            </w:tcMar>
          </w:tcPr>
          <w:p w14:paraId="11BAD02F" w14:textId="7463CB8F" w:rsidR="003902B2" w:rsidRPr="004E00C3" w:rsidRDefault="001939ED" w:rsidP="003A4F8E">
            <w:pPr>
              <w:pStyle w:val="Logogram"/>
              <w:rPr>
                <w:lang w:val="de-DE"/>
              </w:rPr>
            </w:pPr>
            <w:r>
              <w:rPr>
                <w:noProof/>
              </w:rPr>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6B28CF" w14:paraId="384C85AF" w14:textId="77777777" w:rsidTr="00D27EB6">
        <w:tc>
          <w:tcPr>
            <w:tcW w:w="5000" w:type="pct"/>
          </w:tcPr>
          <w:p w14:paraId="6A8ADD2E" w14:textId="519FDCD8" w:rsidR="003902B2" w:rsidRPr="00015919" w:rsidRDefault="00015919" w:rsidP="003A4F8E">
            <w:pPr>
              <w:pStyle w:val="Contact"/>
              <w:rPr>
                <w:lang w:val="de-DE"/>
              </w:rPr>
            </w:pPr>
            <w:r w:rsidRPr="00015919">
              <w:rPr>
                <w:lang w:val="de-DE"/>
              </w:rPr>
              <w:t>Ihr</w:t>
            </w:r>
            <w:r w:rsidR="003902B2" w:rsidRPr="00015919">
              <w:rPr>
                <w:lang w:val="de-DE"/>
              </w:rPr>
              <w:t xml:space="preserve"> </w:t>
            </w:r>
            <w:r w:rsidRPr="00015919">
              <w:rPr>
                <w:lang w:val="de-DE"/>
              </w:rPr>
              <w:t>K</w:t>
            </w:r>
            <w:r w:rsidR="009045C6" w:rsidRPr="00015919">
              <w:rPr>
                <w:lang w:val="de-DE"/>
              </w:rPr>
              <w:t>onta</w:t>
            </w:r>
            <w:r w:rsidRPr="00015919">
              <w:rPr>
                <w:lang w:val="de-DE"/>
              </w:rPr>
              <w:t>k</w:t>
            </w:r>
            <w:r w:rsidR="009045C6" w:rsidRPr="00015919">
              <w:rPr>
                <w:lang w:val="de-DE"/>
              </w:rPr>
              <w:t>t</w:t>
            </w:r>
            <w:r w:rsidR="003902B2" w:rsidRPr="00015919">
              <w:rPr>
                <w:lang w:val="de-DE"/>
              </w:rPr>
              <w:t>:</w:t>
            </w:r>
          </w:p>
          <w:p w14:paraId="68257A6A" w14:textId="07260AAB" w:rsidR="006A1728" w:rsidRPr="00015919" w:rsidRDefault="003C504C" w:rsidP="006A1728">
            <w:pPr>
              <w:pStyle w:val="Continuoustext"/>
            </w:pPr>
            <w:r w:rsidRPr="00015919">
              <w:t>Lisette Hausser</w:t>
            </w:r>
            <w:r w:rsidR="006A1728" w:rsidRPr="00015919">
              <w:br/>
            </w:r>
            <w:r w:rsidR="00015919" w:rsidRPr="00015919">
              <w:t>Telefon</w:t>
            </w:r>
            <w:r w:rsidR="006A1728" w:rsidRPr="00015919">
              <w:t>: +49 711 61946-</w:t>
            </w:r>
            <w:r w:rsidRPr="00015919">
              <w:t>85</w:t>
            </w:r>
            <w:r w:rsidR="006A1728" w:rsidRPr="00015919">
              <w:br/>
            </w:r>
            <w:r w:rsidRPr="00015919">
              <w:t>Lisette</w:t>
            </w:r>
            <w:r w:rsidR="006A1728" w:rsidRPr="00015919">
              <w:t>.</w:t>
            </w:r>
            <w:r w:rsidRPr="00015919">
              <w:t>Hausser</w:t>
            </w:r>
            <w:r w:rsidR="006A1728" w:rsidRPr="00015919">
              <w:t>@mesago.com</w:t>
            </w:r>
          </w:p>
          <w:p w14:paraId="729AD0E3" w14:textId="0B5D8151" w:rsidR="009F0D32" w:rsidRPr="000A655B" w:rsidRDefault="005855F0" w:rsidP="005855F0">
            <w:pPr>
              <w:pStyle w:val="Continuoustext"/>
            </w:pPr>
            <w:r>
              <w:t>Mesago Messe Frankfurt GmbH</w:t>
            </w:r>
            <w:r w:rsidR="003902B2" w:rsidRPr="000A655B">
              <w:br/>
            </w:r>
            <w:r>
              <w:t>Roteb</w:t>
            </w:r>
            <w:r w:rsidR="00015919">
              <w:t>ü</w:t>
            </w:r>
            <w:r>
              <w:t>hlstraße 83 -85</w:t>
            </w:r>
            <w:r w:rsidR="003902B2" w:rsidRPr="000A655B">
              <w:br/>
            </w:r>
            <w:r>
              <w:t>70178 Stuttgart</w:t>
            </w:r>
            <w:r w:rsidR="009373ED">
              <w:br/>
            </w:r>
            <w:hyperlink r:id="rId14" w:history="1">
              <w:r w:rsidR="009373ED" w:rsidRPr="005855F0">
                <w:rPr>
                  <w:rStyle w:val="Hyperlink"/>
                </w:rPr>
                <w:t>www.mes</w:t>
              </w:r>
              <w:r w:rsidRPr="005855F0">
                <w:rPr>
                  <w:rStyle w:val="Hyperlink"/>
                </w:rPr>
                <w:t>ago</w:t>
              </w:r>
              <w:r w:rsidR="009373ED" w:rsidRPr="005855F0">
                <w:rPr>
                  <w:rStyle w:val="Hyperlink"/>
                </w:rPr>
                <w:t>.com</w:t>
              </w:r>
            </w:hyperlink>
          </w:p>
        </w:tc>
      </w:tr>
    </w:tbl>
    <w:p w14:paraId="5F29D09F" w14:textId="0C18B744" w:rsidR="005855F0" w:rsidRPr="003055DB" w:rsidRDefault="003055DB" w:rsidP="00D425CB">
      <w:pPr>
        <w:pStyle w:val="berschrift4"/>
        <w:rPr>
          <w:rFonts w:eastAsia="Times New Roman"/>
          <w:lang w:val="de-DE"/>
        </w:rPr>
      </w:pPr>
      <w:r w:rsidRPr="003055DB">
        <w:rPr>
          <w:rFonts w:eastAsia="Times New Roman"/>
          <w:lang w:val="de-DE"/>
        </w:rPr>
        <w:t>Hintergrundi</w:t>
      </w:r>
      <w:r>
        <w:rPr>
          <w:rFonts w:eastAsia="Times New Roman"/>
          <w:lang w:val="de-DE"/>
        </w:rPr>
        <w:t>nformation</w:t>
      </w:r>
      <w:r w:rsidR="00C43C44" w:rsidRPr="003055DB">
        <w:rPr>
          <w:rFonts w:eastAsia="Times New Roman"/>
          <w:lang w:val="de-DE"/>
        </w:rPr>
        <w:t xml:space="preserve"> Mesago Messe Frankfurt GmbH</w:t>
      </w:r>
    </w:p>
    <w:p w14:paraId="07077C00" w14:textId="296C38E3" w:rsidR="003055DB" w:rsidRPr="00C4052E" w:rsidRDefault="003055DB" w:rsidP="00C4052E">
      <w:pPr>
        <w:rPr>
          <w:rFonts w:ascii="Arial" w:hAnsi="Arial" w:cs="Arial"/>
          <w:lang w:val="de-DE"/>
        </w:rPr>
      </w:pPr>
      <w:r w:rsidRPr="00C4052E">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452CC58C" w14:textId="5F6B75E6" w:rsidR="003055DB" w:rsidRPr="00C4052E" w:rsidRDefault="003055DB" w:rsidP="00C4052E">
      <w:pPr>
        <w:rPr>
          <w:rFonts w:ascii="Arial" w:hAnsi="Arial" w:cs="Arial"/>
          <w:lang w:val="de-DE"/>
        </w:rPr>
      </w:pPr>
      <w:r w:rsidRPr="00C4052E">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r w:rsidR="00C4052E" w:rsidRPr="00C4052E">
        <w:rPr>
          <w:rFonts w:ascii="Arial" w:hAnsi="Arial" w:cs="Arial"/>
          <w:lang w:val="de-DE"/>
        </w:rPr>
        <w:t>C</w:t>
      </w:r>
      <w:r w:rsidRPr="00C4052E">
        <w:rPr>
          <w:rFonts w:ascii="Arial" w:hAnsi="Arial" w:cs="Arial"/>
          <w:lang w:val="de-DE"/>
        </w:rPr>
        <w:t>onnecting bright minds”.</w:t>
      </w:r>
    </w:p>
    <w:p w14:paraId="78A1027A" w14:textId="119BF82D" w:rsidR="00AC7878" w:rsidRPr="00C4052E" w:rsidRDefault="003055DB" w:rsidP="00C4052E">
      <w:pPr>
        <w:rPr>
          <w:rFonts w:ascii="Arial" w:hAnsi="Arial" w:cs="Arial"/>
          <w:lang w:val="de-DE"/>
        </w:rPr>
      </w:pPr>
      <w:r w:rsidRPr="00C4052E">
        <w:rPr>
          <w:rFonts w:ascii="Arial" w:hAnsi="Arial" w:cs="Arial"/>
          <w:lang w:val="de-DE"/>
        </w:rPr>
        <w:t>Als Teil der Messe Frankfurt Group beschäftigt Mesago am Hauptsitz in Stuttgart rund 170 Mitarbeitende. (</w:t>
      </w:r>
      <w:hyperlink r:id="rId15" w:history="1">
        <w:r w:rsidRPr="00D645F7">
          <w:rPr>
            <w:rFonts w:ascii="Arial" w:hAnsi="Arial"/>
            <w:lang w:val="de-DE"/>
          </w:rPr>
          <w:t>mesago.com</w:t>
        </w:r>
      </w:hyperlink>
      <w:r w:rsidRPr="00C4052E">
        <w:rPr>
          <w:rFonts w:ascii="Arial" w:hAnsi="Arial" w:cs="Arial"/>
          <w:lang w:val="de-DE"/>
        </w:rPr>
        <w:t>)</w:t>
      </w:r>
    </w:p>
    <w:p w14:paraId="6AB14FBB" w14:textId="2B686A11" w:rsidR="00A925F0" w:rsidRPr="00A8782A" w:rsidRDefault="00A8782A" w:rsidP="00D425CB">
      <w:pPr>
        <w:pStyle w:val="berschrift4"/>
        <w:rPr>
          <w:rFonts w:eastAsia="Times New Roman"/>
          <w:lang w:val="de-DE"/>
        </w:rPr>
      </w:pPr>
      <w:r w:rsidRPr="00A8782A">
        <w:rPr>
          <w:rFonts w:eastAsia="Times New Roman"/>
          <w:lang w:val="de-DE"/>
        </w:rPr>
        <w:lastRenderedPageBreak/>
        <w:t>Hintergrundinformationen</w:t>
      </w:r>
      <w:r w:rsidR="009045C6" w:rsidRPr="00A8782A">
        <w:rPr>
          <w:rFonts w:eastAsia="Times New Roman"/>
          <w:lang w:val="de-DE"/>
        </w:rPr>
        <w:t xml:space="preserve"> Messe Frankfurt</w:t>
      </w:r>
    </w:p>
    <w:p w14:paraId="2F4CABE0" w14:textId="77BD98CF" w:rsidR="009045C6" w:rsidRPr="00A8782A" w:rsidRDefault="00A8782A" w:rsidP="00854A27">
      <w:pPr>
        <w:pStyle w:val="Continuoustext"/>
      </w:pPr>
      <w:hyperlink r:id="rId16" w:history="1">
        <w:r w:rsidRPr="00A8782A">
          <w:rPr>
            <w:rStyle w:val="Hyperlink"/>
          </w:rPr>
          <w:t>www.messefrankfurt.com/hintergrundinformation</w:t>
        </w:r>
      </w:hyperlink>
    </w:p>
    <w:p w14:paraId="2B6A7C47" w14:textId="407C5543" w:rsidR="00B36757" w:rsidRPr="00A8782A" w:rsidRDefault="00A8782A" w:rsidP="00B36757">
      <w:pPr>
        <w:pStyle w:val="berschrift4"/>
        <w:rPr>
          <w:rFonts w:eastAsia="Times New Roman"/>
          <w:lang w:val="de-DE"/>
        </w:rPr>
      </w:pPr>
      <w:r w:rsidRPr="00A8782A">
        <w:rPr>
          <w:rFonts w:eastAsia="Times New Roman"/>
          <w:lang w:val="de-DE"/>
        </w:rPr>
        <w:t>Nachhaltigkeit</w:t>
      </w:r>
      <w:r w:rsidR="00AF2C83" w:rsidRPr="00A8782A">
        <w:rPr>
          <w:rFonts w:eastAsia="Times New Roman"/>
          <w:lang w:val="de-DE"/>
        </w:rPr>
        <w:t xml:space="preserve"> Messe Frankfurt</w:t>
      </w:r>
    </w:p>
    <w:p w14:paraId="2F2E89B5" w14:textId="2063A663" w:rsidR="00B36757" w:rsidRPr="00AF2C83" w:rsidRDefault="00AF2C83" w:rsidP="00B36757">
      <w:pPr>
        <w:pStyle w:val="Continuoustext"/>
        <w:rPr>
          <w:lang w:val="en-US"/>
        </w:rPr>
      </w:pPr>
      <w:hyperlink r:id="rId17" w:history="1">
        <w:r w:rsidRPr="00AF2C83">
          <w:rPr>
            <w:rStyle w:val="Hyperlink"/>
            <w:lang w:val="en-US"/>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135"/>
    <w:multiLevelType w:val="hybridMultilevel"/>
    <w:tmpl w:val="9034BE5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3" w15:restartNumberingAfterBreak="0">
    <w:nsid w:val="57F062B4"/>
    <w:multiLevelType w:val="multilevel"/>
    <w:tmpl w:val="D71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5325A"/>
    <w:multiLevelType w:val="hybridMultilevel"/>
    <w:tmpl w:val="EB8E28C4"/>
    <w:lvl w:ilvl="0" w:tplc="61DE140C">
      <w:start w:val="1"/>
      <w:numFmt w:val="bullet"/>
      <w:lvlText w:val=""/>
      <w:lvlJc w:val="left"/>
      <w:pPr>
        <w:ind w:left="1080" w:hanging="360"/>
      </w:pPr>
      <w:rPr>
        <w:rFonts w:ascii="Symbol" w:hAnsi="Symbol"/>
      </w:rPr>
    </w:lvl>
    <w:lvl w:ilvl="1" w:tplc="55EE0CD6">
      <w:start w:val="1"/>
      <w:numFmt w:val="bullet"/>
      <w:lvlText w:val=""/>
      <w:lvlJc w:val="left"/>
      <w:pPr>
        <w:ind w:left="1080" w:hanging="360"/>
      </w:pPr>
      <w:rPr>
        <w:rFonts w:ascii="Symbol" w:hAnsi="Symbol"/>
      </w:rPr>
    </w:lvl>
    <w:lvl w:ilvl="2" w:tplc="B31609FA">
      <w:start w:val="1"/>
      <w:numFmt w:val="bullet"/>
      <w:lvlText w:val=""/>
      <w:lvlJc w:val="left"/>
      <w:pPr>
        <w:ind w:left="1080" w:hanging="360"/>
      </w:pPr>
      <w:rPr>
        <w:rFonts w:ascii="Symbol" w:hAnsi="Symbol"/>
      </w:rPr>
    </w:lvl>
    <w:lvl w:ilvl="3" w:tplc="2F0AF828">
      <w:start w:val="1"/>
      <w:numFmt w:val="bullet"/>
      <w:lvlText w:val=""/>
      <w:lvlJc w:val="left"/>
      <w:pPr>
        <w:ind w:left="1080" w:hanging="360"/>
      </w:pPr>
      <w:rPr>
        <w:rFonts w:ascii="Symbol" w:hAnsi="Symbol"/>
      </w:rPr>
    </w:lvl>
    <w:lvl w:ilvl="4" w:tplc="B304416C">
      <w:start w:val="1"/>
      <w:numFmt w:val="bullet"/>
      <w:lvlText w:val=""/>
      <w:lvlJc w:val="left"/>
      <w:pPr>
        <w:ind w:left="1080" w:hanging="360"/>
      </w:pPr>
      <w:rPr>
        <w:rFonts w:ascii="Symbol" w:hAnsi="Symbol"/>
      </w:rPr>
    </w:lvl>
    <w:lvl w:ilvl="5" w:tplc="52281F6A">
      <w:start w:val="1"/>
      <w:numFmt w:val="bullet"/>
      <w:lvlText w:val=""/>
      <w:lvlJc w:val="left"/>
      <w:pPr>
        <w:ind w:left="1080" w:hanging="360"/>
      </w:pPr>
      <w:rPr>
        <w:rFonts w:ascii="Symbol" w:hAnsi="Symbol"/>
      </w:rPr>
    </w:lvl>
    <w:lvl w:ilvl="6" w:tplc="8272BC32">
      <w:start w:val="1"/>
      <w:numFmt w:val="bullet"/>
      <w:lvlText w:val=""/>
      <w:lvlJc w:val="left"/>
      <w:pPr>
        <w:ind w:left="1080" w:hanging="360"/>
      </w:pPr>
      <w:rPr>
        <w:rFonts w:ascii="Symbol" w:hAnsi="Symbol"/>
      </w:rPr>
    </w:lvl>
    <w:lvl w:ilvl="7" w:tplc="66AEA938">
      <w:start w:val="1"/>
      <w:numFmt w:val="bullet"/>
      <w:lvlText w:val=""/>
      <w:lvlJc w:val="left"/>
      <w:pPr>
        <w:ind w:left="1080" w:hanging="360"/>
      </w:pPr>
      <w:rPr>
        <w:rFonts w:ascii="Symbol" w:hAnsi="Symbol"/>
      </w:rPr>
    </w:lvl>
    <w:lvl w:ilvl="8" w:tplc="64EAD448">
      <w:start w:val="1"/>
      <w:numFmt w:val="bullet"/>
      <w:lvlText w:val=""/>
      <w:lvlJc w:val="left"/>
      <w:pPr>
        <w:ind w:left="1080" w:hanging="360"/>
      </w:pPr>
      <w:rPr>
        <w:rFonts w:ascii="Symbol" w:hAnsi="Symbol"/>
      </w:rPr>
    </w:lvl>
  </w:abstractNum>
  <w:num w:numId="1" w16cid:durableId="777725392">
    <w:abstractNumId w:val="1"/>
  </w:num>
  <w:num w:numId="2" w16cid:durableId="1935358449">
    <w:abstractNumId w:val="2"/>
  </w:num>
  <w:num w:numId="3" w16cid:durableId="984623401">
    <w:abstractNumId w:val="4"/>
  </w:num>
  <w:num w:numId="4" w16cid:durableId="762921081">
    <w:abstractNumId w:val="3"/>
  </w:num>
  <w:num w:numId="5" w16cid:durableId="174163058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17C17"/>
    <w:rsid w:val="00020EB1"/>
    <w:rsid w:val="00027A61"/>
    <w:rsid w:val="0004684E"/>
    <w:rsid w:val="00076FCE"/>
    <w:rsid w:val="000A0BA0"/>
    <w:rsid w:val="000A655B"/>
    <w:rsid w:val="000C6772"/>
    <w:rsid w:val="000D1B0F"/>
    <w:rsid w:val="000D5BFC"/>
    <w:rsid w:val="000D7791"/>
    <w:rsid w:val="000D7D79"/>
    <w:rsid w:val="00103700"/>
    <w:rsid w:val="00105788"/>
    <w:rsid w:val="00117EB5"/>
    <w:rsid w:val="00121B91"/>
    <w:rsid w:val="00123F65"/>
    <w:rsid w:val="00131FFA"/>
    <w:rsid w:val="001432C2"/>
    <w:rsid w:val="00155CA4"/>
    <w:rsid w:val="00166B37"/>
    <w:rsid w:val="001939ED"/>
    <w:rsid w:val="001A3A4F"/>
    <w:rsid w:val="001E2D00"/>
    <w:rsid w:val="001F14E5"/>
    <w:rsid w:val="00221135"/>
    <w:rsid w:val="00222267"/>
    <w:rsid w:val="00225F93"/>
    <w:rsid w:val="0023133C"/>
    <w:rsid w:val="00240018"/>
    <w:rsid w:val="00247B78"/>
    <w:rsid w:val="002757C9"/>
    <w:rsid w:val="00281D02"/>
    <w:rsid w:val="00282497"/>
    <w:rsid w:val="002A03C2"/>
    <w:rsid w:val="002C7048"/>
    <w:rsid w:val="002D23F5"/>
    <w:rsid w:val="002D4502"/>
    <w:rsid w:val="002E6402"/>
    <w:rsid w:val="002E7855"/>
    <w:rsid w:val="002F2645"/>
    <w:rsid w:val="003055DB"/>
    <w:rsid w:val="003179CF"/>
    <w:rsid w:val="0032688C"/>
    <w:rsid w:val="00350C00"/>
    <w:rsid w:val="00363F18"/>
    <w:rsid w:val="00383687"/>
    <w:rsid w:val="0038798C"/>
    <w:rsid w:val="003902B2"/>
    <w:rsid w:val="003A0F04"/>
    <w:rsid w:val="003A2D40"/>
    <w:rsid w:val="003A4F8E"/>
    <w:rsid w:val="003B6004"/>
    <w:rsid w:val="003C1C67"/>
    <w:rsid w:val="003C4BD0"/>
    <w:rsid w:val="003C504C"/>
    <w:rsid w:val="003D767A"/>
    <w:rsid w:val="003F716F"/>
    <w:rsid w:val="0042362C"/>
    <w:rsid w:val="00424857"/>
    <w:rsid w:val="00443F19"/>
    <w:rsid w:val="0045113D"/>
    <w:rsid w:val="00467388"/>
    <w:rsid w:val="00484385"/>
    <w:rsid w:val="0049137E"/>
    <w:rsid w:val="00493E4E"/>
    <w:rsid w:val="004A1916"/>
    <w:rsid w:val="004E00C3"/>
    <w:rsid w:val="004F1D64"/>
    <w:rsid w:val="00505759"/>
    <w:rsid w:val="005130C9"/>
    <w:rsid w:val="00523505"/>
    <w:rsid w:val="00536FE2"/>
    <w:rsid w:val="00540045"/>
    <w:rsid w:val="00566B83"/>
    <w:rsid w:val="0057094E"/>
    <w:rsid w:val="0058253E"/>
    <w:rsid w:val="005855F0"/>
    <w:rsid w:val="00585A1E"/>
    <w:rsid w:val="005A13EF"/>
    <w:rsid w:val="005B2BAD"/>
    <w:rsid w:val="005B33FB"/>
    <w:rsid w:val="005E3C63"/>
    <w:rsid w:val="005F1E74"/>
    <w:rsid w:val="005F496F"/>
    <w:rsid w:val="006241DE"/>
    <w:rsid w:val="00633CAD"/>
    <w:rsid w:val="00635AB1"/>
    <w:rsid w:val="00637D68"/>
    <w:rsid w:val="00641AD8"/>
    <w:rsid w:val="00673621"/>
    <w:rsid w:val="006850F5"/>
    <w:rsid w:val="00696BE5"/>
    <w:rsid w:val="006A1728"/>
    <w:rsid w:val="006A698F"/>
    <w:rsid w:val="006B28CF"/>
    <w:rsid w:val="006B3DB0"/>
    <w:rsid w:val="006C1E26"/>
    <w:rsid w:val="006C6DCE"/>
    <w:rsid w:val="006F5AF4"/>
    <w:rsid w:val="00701D02"/>
    <w:rsid w:val="0070552F"/>
    <w:rsid w:val="00710E0D"/>
    <w:rsid w:val="00714D37"/>
    <w:rsid w:val="007256F1"/>
    <w:rsid w:val="00726822"/>
    <w:rsid w:val="00732920"/>
    <w:rsid w:val="0076139D"/>
    <w:rsid w:val="00765A75"/>
    <w:rsid w:val="00765F4E"/>
    <w:rsid w:val="0078718F"/>
    <w:rsid w:val="00793455"/>
    <w:rsid w:val="007A40C0"/>
    <w:rsid w:val="007B249A"/>
    <w:rsid w:val="007B2F67"/>
    <w:rsid w:val="007B3A1C"/>
    <w:rsid w:val="007C08AD"/>
    <w:rsid w:val="007C23F6"/>
    <w:rsid w:val="007C41C1"/>
    <w:rsid w:val="007C4C1E"/>
    <w:rsid w:val="007C62B4"/>
    <w:rsid w:val="007D6943"/>
    <w:rsid w:val="007F69A9"/>
    <w:rsid w:val="00804671"/>
    <w:rsid w:val="00807121"/>
    <w:rsid w:val="00807C5C"/>
    <w:rsid w:val="00815EE0"/>
    <w:rsid w:val="0084260E"/>
    <w:rsid w:val="00854A27"/>
    <w:rsid w:val="008555CD"/>
    <w:rsid w:val="00867A39"/>
    <w:rsid w:val="0088042D"/>
    <w:rsid w:val="0088255F"/>
    <w:rsid w:val="00894114"/>
    <w:rsid w:val="008A5874"/>
    <w:rsid w:val="008C479B"/>
    <w:rsid w:val="008D281B"/>
    <w:rsid w:val="008D5680"/>
    <w:rsid w:val="008E4E88"/>
    <w:rsid w:val="008F02ED"/>
    <w:rsid w:val="009045C6"/>
    <w:rsid w:val="00905800"/>
    <w:rsid w:val="00910A29"/>
    <w:rsid w:val="0091195F"/>
    <w:rsid w:val="009344A7"/>
    <w:rsid w:val="009349EF"/>
    <w:rsid w:val="00936976"/>
    <w:rsid w:val="009373ED"/>
    <w:rsid w:val="00937762"/>
    <w:rsid w:val="00950F1B"/>
    <w:rsid w:val="00985571"/>
    <w:rsid w:val="009A6630"/>
    <w:rsid w:val="009B3394"/>
    <w:rsid w:val="009C0038"/>
    <w:rsid w:val="009F0D32"/>
    <w:rsid w:val="00A15BC8"/>
    <w:rsid w:val="00A27C32"/>
    <w:rsid w:val="00A3041E"/>
    <w:rsid w:val="00A317BD"/>
    <w:rsid w:val="00A331E4"/>
    <w:rsid w:val="00A53CAF"/>
    <w:rsid w:val="00A60CFA"/>
    <w:rsid w:val="00A6749A"/>
    <w:rsid w:val="00A825A4"/>
    <w:rsid w:val="00A8782A"/>
    <w:rsid w:val="00A925F0"/>
    <w:rsid w:val="00AA22B4"/>
    <w:rsid w:val="00AA4F51"/>
    <w:rsid w:val="00AC7878"/>
    <w:rsid w:val="00AE3F2B"/>
    <w:rsid w:val="00AE7164"/>
    <w:rsid w:val="00AF2C83"/>
    <w:rsid w:val="00AF66B2"/>
    <w:rsid w:val="00B02CED"/>
    <w:rsid w:val="00B0538E"/>
    <w:rsid w:val="00B07DB8"/>
    <w:rsid w:val="00B15684"/>
    <w:rsid w:val="00B159EC"/>
    <w:rsid w:val="00B23D7D"/>
    <w:rsid w:val="00B36757"/>
    <w:rsid w:val="00B53A2A"/>
    <w:rsid w:val="00BA0462"/>
    <w:rsid w:val="00BA056D"/>
    <w:rsid w:val="00BB0FFA"/>
    <w:rsid w:val="00BC3F18"/>
    <w:rsid w:val="00BD1D43"/>
    <w:rsid w:val="00BE20F1"/>
    <w:rsid w:val="00BE3A4E"/>
    <w:rsid w:val="00BE6D6A"/>
    <w:rsid w:val="00C06975"/>
    <w:rsid w:val="00C12A06"/>
    <w:rsid w:val="00C17FAD"/>
    <w:rsid w:val="00C25464"/>
    <w:rsid w:val="00C25FCC"/>
    <w:rsid w:val="00C2765B"/>
    <w:rsid w:val="00C35A1E"/>
    <w:rsid w:val="00C4052E"/>
    <w:rsid w:val="00C43C44"/>
    <w:rsid w:val="00C45A4E"/>
    <w:rsid w:val="00C4715F"/>
    <w:rsid w:val="00C5287E"/>
    <w:rsid w:val="00C55078"/>
    <w:rsid w:val="00C5606D"/>
    <w:rsid w:val="00C56C0A"/>
    <w:rsid w:val="00C63ACF"/>
    <w:rsid w:val="00C64E58"/>
    <w:rsid w:val="00C80702"/>
    <w:rsid w:val="00C81BE2"/>
    <w:rsid w:val="00C85550"/>
    <w:rsid w:val="00CE3DF1"/>
    <w:rsid w:val="00CF138C"/>
    <w:rsid w:val="00CF5B16"/>
    <w:rsid w:val="00D00796"/>
    <w:rsid w:val="00D0411E"/>
    <w:rsid w:val="00D22FE1"/>
    <w:rsid w:val="00D27EB6"/>
    <w:rsid w:val="00D35505"/>
    <w:rsid w:val="00D425CB"/>
    <w:rsid w:val="00D51603"/>
    <w:rsid w:val="00D536AD"/>
    <w:rsid w:val="00D54056"/>
    <w:rsid w:val="00D54D77"/>
    <w:rsid w:val="00D632BE"/>
    <w:rsid w:val="00D645F7"/>
    <w:rsid w:val="00D67944"/>
    <w:rsid w:val="00D708BD"/>
    <w:rsid w:val="00D83AE9"/>
    <w:rsid w:val="00DA7114"/>
    <w:rsid w:val="00DB728F"/>
    <w:rsid w:val="00E0024A"/>
    <w:rsid w:val="00E01583"/>
    <w:rsid w:val="00E04E00"/>
    <w:rsid w:val="00E31507"/>
    <w:rsid w:val="00E32257"/>
    <w:rsid w:val="00E323AF"/>
    <w:rsid w:val="00E35847"/>
    <w:rsid w:val="00E36F51"/>
    <w:rsid w:val="00E436CB"/>
    <w:rsid w:val="00E454F8"/>
    <w:rsid w:val="00E5580A"/>
    <w:rsid w:val="00E66047"/>
    <w:rsid w:val="00E73A7C"/>
    <w:rsid w:val="00E82225"/>
    <w:rsid w:val="00EC05B5"/>
    <w:rsid w:val="00EC4C24"/>
    <w:rsid w:val="00F11B29"/>
    <w:rsid w:val="00F164D8"/>
    <w:rsid w:val="00F20B1C"/>
    <w:rsid w:val="00F501FE"/>
    <w:rsid w:val="00F51D33"/>
    <w:rsid w:val="00F6297C"/>
    <w:rsid w:val="00F75403"/>
    <w:rsid w:val="00F813C7"/>
    <w:rsid w:val="00F8455A"/>
    <w:rsid w:val="00F91F11"/>
    <w:rsid w:val="00F944A0"/>
    <w:rsid w:val="00FA02B9"/>
    <w:rsid w:val="00FB0FB9"/>
    <w:rsid w:val="00FC70AD"/>
    <w:rsid w:val="00FD49F6"/>
    <w:rsid w:val="00FE41E1"/>
    <w:rsid w:val="00FE7261"/>
    <w:rsid w:val="00FF1953"/>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04684E"/>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04684E"/>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ux7tZv%20"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ference.mesago.com/event/32983b7d-95fe-4485-b1d6-766b501f69ae/regPage:9aaebabb-8ace-4c1c-a15c-5c24a8ba286d?gln_ids=c2f64034d0-1lxbtulgvmy-4dabe1ddaa9d&amp;rp=6b0f2fef-59e8-4736-a3e3-c88bff3430fb"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www.messefrankfurt.com/frankfurt/de/presse/boilerplat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hyperlink" Target="https://pcim.mesago.com/nuernberg/de/press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16</cp:revision>
  <cp:lastPrinted>2023-09-12T11:06:00Z</cp:lastPrinted>
  <dcterms:created xsi:type="dcterms:W3CDTF">2026-05-27T15:00:00Z</dcterms:created>
  <dcterms:modified xsi:type="dcterms:W3CDTF">2026-05-28T11:08:00Z</dcterms:modified>
</cp:coreProperties>
</file>